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0" w:type="dxa"/>
        <w:jc w:val="center"/>
        <w:tblCellSpacing w:w="0" w:type="dxa"/>
        <w:tblCellMar>
          <w:left w:w="0" w:type="dxa"/>
          <w:right w:w="0" w:type="dxa"/>
        </w:tblCellMar>
        <w:tblLook w:val="04A0" w:firstRow="1" w:lastRow="0" w:firstColumn="1" w:lastColumn="0" w:noHBand="0" w:noVBand="1"/>
      </w:tblPr>
      <w:tblGrid>
        <w:gridCol w:w="10400"/>
      </w:tblGrid>
      <w:tr w:rsidR="003B0D18" w:rsidRPr="003B0D18" w:rsidTr="003B0D18">
        <w:trPr>
          <w:trHeight w:val="1000"/>
          <w:tblCellSpacing w:w="0" w:type="dxa"/>
          <w:jc w:val="center"/>
        </w:trPr>
        <w:tc>
          <w:tcPr>
            <w:tcW w:w="10400" w:type="dxa"/>
            <w:vAlign w:val="center"/>
            <w:hideMark/>
          </w:tcPr>
          <w:tbl>
            <w:tblPr>
              <w:tblW w:w="4600" w:type="pct"/>
              <w:jc w:val="center"/>
              <w:tblCellSpacing w:w="15" w:type="dxa"/>
              <w:tblCellMar>
                <w:top w:w="15" w:type="dxa"/>
                <w:left w:w="15" w:type="dxa"/>
                <w:bottom w:w="15" w:type="dxa"/>
                <w:right w:w="15" w:type="dxa"/>
              </w:tblCellMar>
              <w:tblLook w:val="04A0" w:firstRow="1" w:lastRow="0" w:firstColumn="1" w:lastColumn="0" w:noHBand="0" w:noVBand="1"/>
            </w:tblPr>
            <w:tblGrid>
              <w:gridCol w:w="9568"/>
            </w:tblGrid>
            <w:tr w:rsidR="003B0D18" w:rsidRPr="003B0D18">
              <w:trPr>
                <w:trHeight w:val="600"/>
                <w:tblCellSpacing w:w="15" w:type="dxa"/>
                <w:jc w:val="center"/>
              </w:trPr>
              <w:tc>
                <w:tcPr>
                  <w:tcW w:w="0" w:type="auto"/>
                  <w:vAlign w:val="center"/>
                  <w:hideMark/>
                </w:tcPr>
                <w:p w:rsidR="003B0D18" w:rsidRPr="003B0D18" w:rsidRDefault="003B0D18" w:rsidP="003B0D18">
                  <w:pPr>
                    <w:widowControl/>
                    <w:jc w:val="center"/>
                    <w:rPr>
                      <w:rFonts w:ascii="ˎ̥" w:eastAsia="宋体" w:hAnsi="ˎ̥" w:cs="Times New Roman"/>
                      <w:b/>
                      <w:bCs/>
                      <w:color w:val="0033CC"/>
                      <w:sz w:val="36"/>
                      <w:szCs w:val="36"/>
                    </w:rPr>
                  </w:pPr>
                  <w:bookmarkStart w:id="0" w:name="_GoBack"/>
                  <w:r w:rsidRPr="003B0D18">
                    <w:rPr>
                      <w:rFonts w:ascii="ˎ̥" w:eastAsia="宋体" w:hAnsi="ˎ̥" w:cs="Times New Roman"/>
                      <w:b/>
                      <w:bCs/>
                      <w:color w:val="0033CC"/>
                      <w:sz w:val="36"/>
                      <w:szCs w:val="36"/>
                    </w:rPr>
                    <w:t>彭泽县人民政府办公室关于印发彭泽县扶持企业上市工作办法（试行）的通知</w:t>
                  </w:r>
                  <w:bookmarkEnd w:id="0"/>
                </w:p>
              </w:tc>
            </w:tr>
            <w:tr w:rsidR="003B0D18" w:rsidRPr="003B0D18">
              <w:trPr>
                <w:trHeight w:val="300"/>
                <w:tblCellSpacing w:w="15" w:type="dxa"/>
                <w:jc w:val="center"/>
              </w:trPr>
              <w:tc>
                <w:tcPr>
                  <w:tcW w:w="0" w:type="auto"/>
                  <w:shd w:val="clear" w:color="auto" w:fill="E6E6E6"/>
                  <w:vAlign w:val="center"/>
                  <w:hideMark/>
                </w:tcPr>
                <w:p w:rsidR="003B0D18" w:rsidRPr="003B0D18" w:rsidRDefault="003B0D18" w:rsidP="003B0D18">
                  <w:pPr>
                    <w:jc w:val="center"/>
                    <w:rPr>
                      <w:rFonts w:ascii="宋体" w:eastAsia="宋体" w:hAnsi="宋体" w:cs="Times New Roman"/>
                      <w:color w:val="000000"/>
                      <w:sz w:val="20"/>
                      <w:szCs w:val="20"/>
                    </w:rPr>
                  </w:pPr>
                  <w:r w:rsidRPr="003B0D18">
                    <w:rPr>
                      <w:rFonts w:ascii="Calibri" w:eastAsia="宋体" w:hAnsi="Calibri" w:cs="Times New Roman" w:hint="eastAsia"/>
                      <w:color w:val="000000"/>
                      <w:sz w:val="20"/>
                      <w:szCs w:val="20"/>
                    </w:rPr>
                    <w:t>中共彭泽县委、彭泽县人民政府门户网站</w:t>
                  </w:r>
                  <w:r w:rsidRPr="003B0D18">
                    <w:rPr>
                      <w:rFonts w:ascii="Calibri" w:eastAsia="宋体" w:hAnsi="Calibri" w:cs="Times New Roman" w:hint="eastAsia"/>
                      <w:color w:val="000000"/>
                      <w:sz w:val="20"/>
                      <w:szCs w:val="20"/>
                    </w:rPr>
                    <w:t xml:space="preserve"> www.pengze.gov.cn </w:t>
                  </w:r>
                  <w:r w:rsidRPr="003B0D18">
                    <w:rPr>
                      <w:rFonts w:ascii="Calibri" w:eastAsia="宋体" w:hAnsi="Calibri" w:cs="Times New Roman" w:hint="eastAsia"/>
                      <w:color w:val="000000"/>
                      <w:sz w:val="20"/>
                      <w:szCs w:val="20"/>
                    </w:rPr>
                    <w:t>发布时间：</w:t>
                  </w:r>
                  <w:r w:rsidRPr="003B0D18">
                    <w:rPr>
                      <w:rFonts w:ascii="Calibri" w:eastAsia="宋体" w:hAnsi="Calibri" w:cs="Times New Roman" w:hint="eastAsia"/>
                      <w:color w:val="000000"/>
                      <w:sz w:val="20"/>
                      <w:szCs w:val="20"/>
                    </w:rPr>
                    <w:t xml:space="preserve"> 2016/12/14 10:01:56</w:t>
                  </w:r>
                  <w:r w:rsidRPr="003B0D18">
                    <w:rPr>
                      <w:rFonts w:ascii="Calibri" w:eastAsia="宋体" w:hAnsi="Calibri" w:cs="Times New Roman" w:hint="eastAsia"/>
                      <w:color w:val="000000"/>
                      <w:sz w:val="20"/>
                      <w:szCs w:val="20"/>
                    </w:rPr>
                    <w:t xml:space="preserve">　来源：</w:t>
                  </w:r>
                  <w:r w:rsidRPr="003B0D18">
                    <w:rPr>
                      <w:rFonts w:ascii="Calibri" w:eastAsia="宋体" w:hAnsi="Calibri" w:cs="Times New Roman" w:hint="eastAsia"/>
                      <w:color w:val="000000"/>
                      <w:sz w:val="20"/>
                      <w:szCs w:val="20"/>
                    </w:rPr>
                    <w:t> </w:t>
                  </w:r>
                  <w:r w:rsidRPr="003B0D18">
                    <w:rPr>
                      <w:rFonts w:ascii="Calibri" w:eastAsia="宋体" w:hAnsi="Calibri" w:cs="Times New Roman" w:hint="eastAsia"/>
                      <w:color w:val="000000"/>
                      <w:sz w:val="20"/>
                      <w:szCs w:val="20"/>
                    </w:rPr>
                    <w:t xml:space="preserve">　作者：</w:t>
                  </w:r>
                  <w:r w:rsidRPr="003B0D18">
                    <w:rPr>
                      <w:rFonts w:ascii="Calibri" w:eastAsia="宋体" w:hAnsi="Calibri" w:cs="Times New Roman" w:hint="eastAsia"/>
                      <w:color w:val="000000"/>
                      <w:sz w:val="20"/>
                      <w:szCs w:val="20"/>
                    </w:rPr>
                    <w:t xml:space="preserve"> </w:t>
                  </w:r>
                </w:p>
              </w:tc>
            </w:tr>
          </w:tbl>
          <w:p w:rsidR="003B0D18" w:rsidRPr="003B0D18" w:rsidRDefault="003B0D18" w:rsidP="003B0D18">
            <w:pPr>
              <w:widowControl/>
              <w:spacing w:before="100" w:beforeAutospacing="1" w:after="100" w:afterAutospacing="1"/>
              <w:jc w:val="left"/>
              <w:rPr>
                <w:rFonts w:ascii="宋体" w:eastAsia="宋体" w:hAnsi="宋体" w:cs="宋体" w:hint="eastAsia"/>
                <w:color w:val="000000"/>
                <w:kern w:val="0"/>
                <w:sz w:val="20"/>
                <w:szCs w:val="20"/>
              </w:rPr>
            </w:pPr>
            <w:r w:rsidRPr="003B0D18">
              <w:rPr>
                <w:rFonts w:ascii="宋体" w:eastAsia="宋体" w:hAnsi="宋体" w:cs="宋体" w:hint="eastAsia"/>
                <w:color w:val="000000"/>
                <w:kern w:val="0"/>
                <w:sz w:val="20"/>
                <w:szCs w:val="20"/>
              </w:rPr>
              <w:t> </w:t>
            </w:r>
          </w:p>
        </w:tc>
      </w:tr>
    </w:tbl>
    <w:p w:rsidR="003B0D18" w:rsidRPr="003B0D18" w:rsidRDefault="003B0D18" w:rsidP="003B0D18">
      <w:pPr>
        <w:rPr>
          <w:rFonts w:ascii="Calibri" w:eastAsia="宋体" w:hAnsi="Calibri" w:cs="Times New Roman"/>
          <w:vanish/>
          <w:color w:val="000000"/>
          <w:szCs w:val="21"/>
        </w:rPr>
      </w:pPr>
    </w:p>
    <w:tbl>
      <w:tblPr>
        <w:tblW w:w="10400" w:type="dxa"/>
        <w:jc w:val="center"/>
        <w:tblCellSpacing w:w="0" w:type="dxa"/>
        <w:tblCellMar>
          <w:left w:w="0" w:type="dxa"/>
          <w:right w:w="0" w:type="dxa"/>
        </w:tblCellMar>
        <w:tblLook w:val="04A0" w:firstRow="1" w:lastRow="0" w:firstColumn="1" w:lastColumn="0" w:noHBand="0" w:noVBand="1"/>
      </w:tblPr>
      <w:tblGrid>
        <w:gridCol w:w="10400"/>
      </w:tblGrid>
      <w:tr w:rsidR="003B0D18" w:rsidRPr="003B0D18" w:rsidTr="003B0D18">
        <w:trPr>
          <w:trHeight w:val="500"/>
          <w:tblCellSpacing w:w="0" w:type="dxa"/>
          <w:jc w:val="center"/>
        </w:trPr>
        <w:tc>
          <w:tcPr>
            <w:tcW w:w="10400" w:type="dxa"/>
            <w:hideMark/>
          </w:tcPr>
          <w:tbl>
            <w:tblPr>
              <w:tblW w:w="4400" w:type="pct"/>
              <w:jc w:val="center"/>
              <w:tblCellSpacing w:w="15" w:type="dxa"/>
              <w:tblCellMar>
                <w:top w:w="15" w:type="dxa"/>
                <w:left w:w="15" w:type="dxa"/>
                <w:bottom w:w="15" w:type="dxa"/>
                <w:right w:w="15" w:type="dxa"/>
              </w:tblCellMar>
              <w:tblLook w:val="04A0" w:firstRow="1" w:lastRow="0" w:firstColumn="1" w:lastColumn="0" w:noHBand="0" w:noVBand="1"/>
            </w:tblPr>
            <w:tblGrid>
              <w:gridCol w:w="9152"/>
            </w:tblGrid>
            <w:tr w:rsidR="003B0D18" w:rsidRPr="003B0D18">
              <w:trPr>
                <w:tblCellSpacing w:w="15" w:type="dxa"/>
                <w:jc w:val="center"/>
              </w:trPr>
              <w:tc>
                <w:tcPr>
                  <w:tcW w:w="0" w:type="auto"/>
                  <w:vAlign w:val="center"/>
                  <w:hideMark/>
                </w:tcPr>
                <w:p w:rsidR="003B0D18" w:rsidRPr="003B0D18" w:rsidRDefault="003B0D18" w:rsidP="003B0D18">
                  <w:pPr>
                    <w:snapToGrid w:val="0"/>
                    <w:spacing w:line="360" w:lineRule="auto"/>
                    <w:jc w:val="center"/>
                    <w:rPr>
                      <w:rFonts w:ascii="Calibri" w:eastAsia="宋体" w:hAnsi="Calibri" w:cs="Times New Roman" w:hint="eastAsia"/>
                      <w:color w:val="000000"/>
                      <w:szCs w:val="21"/>
                    </w:rPr>
                  </w:pPr>
                  <w:r w:rsidRPr="003B0D18">
                    <w:rPr>
                      <w:rFonts w:ascii="仿宋_GB2312" w:eastAsia="仿宋_GB2312" w:hAnsi="Calibri" w:cs="Times New Roman" w:hint="eastAsia"/>
                      <w:color w:val="000000"/>
                      <w:sz w:val="36"/>
                      <w:szCs w:val="36"/>
                    </w:rPr>
                    <w:t>彭府办发〔2016〕10号</w:t>
                  </w:r>
                </w:p>
                <w:p w:rsidR="003B0D18" w:rsidRPr="003B0D18" w:rsidRDefault="003B0D18" w:rsidP="003B0D18">
                  <w:pPr>
                    <w:snapToGrid w:val="0"/>
                    <w:spacing w:line="288" w:lineRule="auto"/>
                    <w:jc w:val="center"/>
                    <w:rPr>
                      <w:rFonts w:ascii="Calibri" w:eastAsia="宋体" w:hAnsi="Calibri" w:cs="Times New Roman"/>
                      <w:color w:val="000000"/>
                      <w:szCs w:val="21"/>
                    </w:rPr>
                  </w:pPr>
                  <w:r w:rsidRPr="003B0D18">
                    <w:rPr>
                      <w:rFonts w:ascii="Calibri" w:eastAsia="宋体" w:hAnsi="Calibri" w:cs="Times New Roman"/>
                      <w:color w:val="000000"/>
                      <w:szCs w:val="21"/>
                    </w:rPr>
                    <w:t> </w:t>
                  </w:r>
                </w:p>
                <w:p w:rsidR="003B0D18" w:rsidRPr="003B0D18" w:rsidRDefault="003B0D18" w:rsidP="003B0D18">
                  <w:pPr>
                    <w:snapToGrid w:val="0"/>
                    <w:spacing w:line="360" w:lineRule="auto"/>
                    <w:rPr>
                      <w:rFonts w:ascii="Calibri" w:eastAsia="宋体" w:hAnsi="Calibri" w:cs="Times New Roman"/>
                      <w:color w:val="000000"/>
                      <w:szCs w:val="21"/>
                    </w:rPr>
                  </w:pPr>
                  <w:r w:rsidRPr="003B0D18">
                    <w:rPr>
                      <w:rFonts w:ascii="仿宋_GB2312" w:eastAsia="仿宋_GB2312" w:hAnsi="Calibri" w:cs="Times New Roman" w:hint="eastAsia"/>
                      <w:color w:val="000000"/>
                      <w:sz w:val="32"/>
                      <w:szCs w:val="32"/>
                    </w:rPr>
                    <w:t>各乡（场、区）镇人民政府，县直及驻县各有关单位：</w:t>
                  </w:r>
                </w:p>
                <w:p w:rsidR="003B0D18" w:rsidRPr="003B0D18" w:rsidRDefault="003B0D18" w:rsidP="003B0D18">
                  <w:pPr>
                    <w:widowControl/>
                    <w:shd w:val="clear" w:color="auto" w:fill="FFFFFF"/>
                    <w:adjustRightInd w:val="0"/>
                    <w:snapToGrid w:val="0"/>
                    <w:spacing w:line="360" w:lineRule="auto"/>
                    <w:ind w:firstLine="560"/>
                    <w:rPr>
                      <w:rFonts w:ascii="Calibri" w:eastAsia="宋体" w:hAnsi="Calibri" w:cs="Times New Roman"/>
                      <w:color w:val="000000"/>
                      <w:szCs w:val="21"/>
                    </w:rPr>
                  </w:pPr>
                  <w:r w:rsidRPr="003B0D18">
                    <w:rPr>
                      <w:rFonts w:ascii="仿宋_GB2312" w:eastAsia="仿宋_GB2312" w:hAnsi="Calibri" w:cs="Times New Roman" w:hint="eastAsia"/>
                      <w:color w:val="000000"/>
                      <w:sz w:val="32"/>
                      <w:szCs w:val="32"/>
                    </w:rPr>
                    <w:t xml:space="preserve"> 《彭泽县扶持企业上市工作办法（试行）》</w:t>
                  </w:r>
                  <w:r w:rsidRPr="003B0D18">
                    <w:rPr>
                      <w:rFonts w:ascii="仿宋_GB2312" w:eastAsia="仿宋_GB2312" w:hAnsi="宋体" w:cs="宋体" w:hint="eastAsia"/>
                      <w:color w:val="000000"/>
                      <w:kern w:val="0"/>
                      <w:sz w:val="32"/>
                      <w:szCs w:val="32"/>
                    </w:rPr>
                    <w:t>已经县政府同意，现印发给你们</w:t>
                  </w:r>
                  <w:r w:rsidRPr="003B0D18">
                    <w:rPr>
                      <w:rFonts w:ascii="仿宋_GB2312" w:eastAsia="仿宋_GB2312" w:hAnsi="Calibri" w:cs="Times New Roman" w:hint="eastAsia"/>
                      <w:color w:val="000000"/>
                      <w:sz w:val="32"/>
                      <w:szCs w:val="32"/>
                    </w:rPr>
                    <w:t>，请认真贯彻执行。</w:t>
                  </w:r>
                </w:p>
                <w:p w:rsidR="003B0D18" w:rsidRPr="003B0D18" w:rsidRDefault="003B0D18" w:rsidP="003B0D18">
                  <w:pPr>
                    <w:snapToGrid w:val="0"/>
                    <w:spacing w:line="360" w:lineRule="auto"/>
                    <w:ind w:right="640" w:firstLine="750"/>
                    <w:jc w:val="right"/>
                    <w:rPr>
                      <w:rFonts w:ascii="Calibri" w:eastAsia="宋体" w:hAnsi="Calibri" w:cs="Times New Roman"/>
                      <w:color w:val="000000"/>
                      <w:szCs w:val="21"/>
                    </w:rPr>
                  </w:pPr>
                  <w:r w:rsidRPr="003B0D18">
                    <w:rPr>
                      <w:rFonts w:ascii="仿宋_GB2312" w:eastAsia="仿宋_GB2312" w:hAnsi="Calibri" w:cs="Times New Roman" w:hint="eastAsia"/>
                      <w:color w:val="000000"/>
                      <w:sz w:val="32"/>
                      <w:szCs w:val="32"/>
                    </w:rPr>
                    <w:t>2016年12月13日</w:t>
                  </w:r>
                </w:p>
                <w:p w:rsidR="003B0D18" w:rsidRPr="003B0D18" w:rsidRDefault="003B0D18" w:rsidP="003B0D18">
                  <w:pPr>
                    <w:snapToGrid w:val="0"/>
                    <w:spacing w:line="288" w:lineRule="auto"/>
                    <w:jc w:val="center"/>
                    <w:rPr>
                      <w:rFonts w:ascii="Calibri" w:eastAsia="宋体" w:hAnsi="Calibri" w:cs="Times New Roman"/>
                      <w:color w:val="000000"/>
                      <w:szCs w:val="21"/>
                    </w:rPr>
                  </w:pPr>
                  <w:r w:rsidRPr="003B0D18">
                    <w:rPr>
                      <w:rFonts w:ascii="方正小标宋简体" w:eastAsia="方正小标宋简体" w:hAnsi="华文中宋" w:cs="宋体" w:hint="eastAsia"/>
                      <w:bCs/>
                      <w:color w:val="000000"/>
                      <w:sz w:val="44"/>
                      <w:szCs w:val="44"/>
                    </w:rPr>
                    <w:t>彭泽县扶持企业上市工作办法（试行）</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为鼓励、扶持和引导企业上市，结合我县实际，特制定本办法。</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黑体" w:eastAsia="黑体" w:hAnsi="Calibri" w:cs="黑体" w:hint="eastAsia"/>
                      <w:color w:val="000000"/>
                      <w:sz w:val="32"/>
                      <w:szCs w:val="32"/>
                    </w:rPr>
                    <w:t>一、工作目标</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按照“培育储备一批、启动运作一批、申报上市一批”的总体思路，争取每年实现1-2家企业在“新三板”市场挂牌上市，培育3-5家企业进入区域股权交易市场挂牌上市；力争3-5年内实现我县企业在国内主板、中小板、创业板挂牌“零突破”。</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黑体" w:eastAsia="黑体" w:hAnsi="Calibri" w:cs="黑体" w:hint="eastAsia"/>
                      <w:color w:val="000000"/>
                      <w:sz w:val="32"/>
                      <w:szCs w:val="32"/>
                    </w:rPr>
                    <w:t>二、主要举措</w:t>
                  </w:r>
                </w:p>
                <w:p w:rsidR="003B0D18" w:rsidRPr="003B0D18" w:rsidRDefault="003B0D18" w:rsidP="003B0D18">
                  <w:pPr>
                    <w:snapToGrid w:val="0"/>
                    <w:spacing w:line="360" w:lineRule="auto"/>
                    <w:ind w:firstLineChars="200" w:firstLine="641"/>
                    <w:rPr>
                      <w:rFonts w:ascii="Calibri" w:eastAsia="宋体" w:hAnsi="Calibri" w:cs="Times New Roman"/>
                      <w:color w:val="000000"/>
                      <w:szCs w:val="21"/>
                    </w:rPr>
                  </w:pPr>
                  <w:r w:rsidRPr="003B0D18">
                    <w:rPr>
                      <w:rFonts w:ascii="楷体_GB2312" w:eastAsia="楷体_GB2312" w:hAnsi="Calibri" w:cs="楷体_GB2312" w:hint="eastAsia"/>
                      <w:b/>
                      <w:bCs/>
                      <w:color w:val="000000"/>
                      <w:sz w:val="32"/>
                      <w:szCs w:val="32"/>
                    </w:rPr>
                    <w:t>（一）建立上市企业后备资源库</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在彭泽县辖区内依法进行工商注册和税务登记，有上市意愿、利润水平较高、诚信度和成长性较好的企业，经企业自主申报，在</w:t>
                  </w:r>
                  <w:r w:rsidRPr="003B0D18">
                    <w:rPr>
                      <w:rFonts w:ascii="仿宋_GB2312" w:eastAsia="仿宋_GB2312" w:hAnsi="Calibri" w:cs="仿宋_GB2312" w:hint="eastAsia"/>
                      <w:color w:val="000000"/>
                      <w:sz w:val="32"/>
                      <w:szCs w:val="32"/>
                    </w:rPr>
                    <w:lastRenderedPageBreak/>
                    <w:t>县金融办登记后，认定为重点上市后备企业，纳入上市企业后备资源库。资源</w:t>
                  </w:r>
                  <w:proofErr w:type="gramStart"/>
                  <w:r w:rsidRPr="003B0D18">
                    <w:rPr>
                      <w:rFonts w:ascii="仿宋_GB2312" w:eastAsia="仿宋_GB2312" w:hAnsi="Calibri" w:cs="仿宋_GB2312" w:hint="eastAsia"/>
                      <w:color w:val="000000"/>
                      <w:sz w:val="32"/>
                      <w:szCs w:val="32"/>
                    </w:rPr>
                    <w:t>库实行</w:t>
                  </w:r>
                  <w:proofErr w:type="gramEnd"/>
                  <w:r w:rsidRPr="003B0D18">
                    <w:rPr>
                      <w:rFonts w:ascii="仿宋_GB2312" w:eastAsia="仿宋_GB2312" w:hAnsi="Calibri" w:cs="仿宋_GB2312" w:hint="eastAsia"/>
                      <w:color w:val="000000"/>
                      <w:sz w:val="32"/>
                      <w:szCs w:val="32"/>
                    </w:rPr>
                    <w:t>动态管理，原则上每半年调整一次。</w:t>
                  </w:r>
                </w:p>
                <w:p w:rsidR="003B0D18" w:rsidRPr="003B0D18" w:rsidRDefault="003B0D18" w:rsidP="003B0D18">
                  <w:pPr>
                    <w:snapToGrid w:val="0"/>
                    <w:spacing w:line="360" w:lineRule="auto"/>
                    <w:ind w:firstLineChars="200" w:firstLine="641"/>
                    <w:rPr>
                      <w:rFonts w:ascii="Calibri" w:eastAsia="宋体" w:hAnsi="Calibri" w:cs="Times New Roman"/>
                      <w:color w:val="000000"/>
                      <w:szCs w:val="21"/>
                    </w:rPr>
                  </w:pPr>
                  <w:r w:rsidRPr="003B0D18">
                    <w:rPr>
                      <w:rFonts w:ascii="楷体_GB2312" w:eastAsia="楷体_GB2312" w:hAnsi="Calibri" w:cs="楷体_GB2312" w:hint="eastAsia"/>
                      <w:b/>
                      <w:bCs/>
                      <w:color w:val="000000"/>
                      <w:sz w:val="32"/>
                      <w:szCs w:val="32"/>
                    </w:rPr>
                    <w:t>（二）分类指导企业上市</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根据县重点上市后备企业情况和境内外资本市场的要求，适当选择上市路径。支持具备一定规模、效益良好、有较强竞争力、在国内同行业领先的大型企业首选国内主板市场上市；支持科技含量高、成长性好、具有发展潜力的中小企业选择境内中小板或创业板市场上市；鼓励科技含量高、创新能力强、成长空间大的企业借助场外市场</w:t>
                  </w:r>
                  <w:r w:rsidRPr="003B0D18">
                    <w:rPr>
                      <w:rFonts w:ascii="黑体" w:eastAsia="黑体" w:hAnsi="Calibri" w:cs="Times New Roman" w:hint="eastAsia"/>
                      <w:color w:val="000000"/>
                      <w:sz w:val="32"/>
                      <w:szCs w:val="32"/>
                    </w:rPr>
                    <w:t>——</w:t>
                  </w:r>
                  <w:r w:rsidRPr="003B0D18">
                    <w:rPr>
                      <w:rFonts w:ascii="仿宋_GB2312" w:eastAsia="仿宋_GB2312" w:hAnsi="Calibri" w:cs="仿宋_GB2312" w:hint="eastAsia"/>
                      <w:color w:val="000000"/>
                      <w:sz w:val="32"/>
                      <w:szCs w:val="32"/>
                    </w:rPr>
                    <w:t>全国中小企业股份转让系统（“新三板”）以及区域性股权交易市场（“新四板”）挂牌上市;鼓励自身上市条件不够成熟，但实力雄厚的企业，通过资产重组借壳、买壳等方式上市；支持符合境外上市条件的企业选择境外上市，实现多渠道、多形式上市融资。</w:t>
                  </w:r>
                </w:p>
                <w:p w:rsidR="003B0D18" w:rsidRPr="003B0D18" w:rsidRDefault="003B0D18" w:rsidP="003B0D18">
                  <w:pPr>
                    <w:snapToGrid w:val="0"/>
                    <w:spacing w:line="360" w:lineRule="auto"/>
                    <w:ind w:firstLineChars="200" w:firstLine="641"/>
                    <w:rPr>
                      <w:rFonts w:ascii="Calibri" w:eastAsia="宋体" w:hAnsi="Calibri" w:cs="Times New Roman"/>
                      <w:color w:val="000000"/>
                      <w:szCs w:val="21"/>
                    </w:rPr>
                  </w:pPr>
                  <w:r w:rsidRPr="003B0D18">
                    <w:rPr>
                      <w:rFonts w:ascii="楷体_GB2312" w:eastAsia="楷体_GB2312" w:hAnsi="Calibri" w:cs="楷体_GB2312" w:hint="eastAsia"/>
                      <w:b/>
                      <w:bCs/>
                      <w:color w:val="000000"/>
                      <w:sz w:val="32"/>
                      <w:szCs w:val="32"/>
                    </w:rPr>
                    <w:t>（三）提供税费奖励支持</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1.企业因股</w:t>
                  </w:r>
                  <w:proofErr w:type="gramStart"/>
                  <w:r w:rsidRPr="003B0D18">
                    <w:rPr>
                      <w:rFonts w:ascii="仿宋_GB2312" w:eastAsia="仿宋_GB2312" w:hAnsi="Calibri" w:cs="仿宋_GB2312" w:hint="eastAsia"/>
                      <w:color w:val="000000"/>
                      <w:sz w:val="32"/>
                      <w:szCs w:val="32"/>
                    </w:rPr>
                    <w:t>改需要</w:t>
                  </w:r>
                  <w:proofErr w:type="gramEnd"/>
                  <w:r w:rsidRPr="003B0D18">
                    <w:rPr>
                      <w:rFonts w:ascii="仿宋_GB2312" w:eastAsia="仿宋_GB2312" w:hAnsi="Calibri" w:cs="仿宋_GB2312" w:hint="eastAsia"/>
                      <w:color w:val="000000"/>
                      <w:sz w:val="32"/>
                      <w:szCs w:val="32"/>
                    </w:rPr>
                    <w:t>进行财务处理，在有资质的会计事务所等中介机构审计评估后，净资产增值部分应补缴的企业所得税和因上市要求完善财会资料而对以前年度应补缴的增值税和企业所得税，以及需要对土地、房产、车船等产权过户而产生的相关税收，由受益财政按照地方所得给予奖励，用于扶持企业发展生产。</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2.企业因股份制改造和上市规范要求，需通过新设立股份有限公司对资产进行并购重组的，其存量资产转让过户中涉及的各项行政事业收费，如房地产及水、电、通讯等设施过户、资产转让</w:t>
                  </w:r>
                  <w:r w:rsidRPr="003B0D18">
                    <w:rPr>
                      <w:rFonts w:ascii="仿宋_GB2312" w:eastAsia="仿宋_GB2312" w:hAnsi="Calibri" w:cs="仿宋_GB2312" w:hint="eastAsia"/>
                      <w:color w:val="000000"/>
                      <w:sz w:val="32"/>
                      <w:szCs w:val="32"/>
                    </w:rPr>
                    <w:lastRenderedPageBreak/>
                    <w:t>等有关行政事业收费事项，只收工本费。</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3.对职工个人以股份形式取得的拥有所有权的企业量化资产，</w:t>
                  </w:r>
                  <w:proofErr w:type="gramStart"/>
                  <w:r w:rsidRPr="003B0D18">
                    <w:rPr>
                      <w:rFonts w:ascii="仿宋_GB2312" w:eastAsia="仿宋_GB2312" w:hAnsi="Calibri" w:cs="仿宋_GB2312" w:hint="eastAsia"/>
                      <w:color w:val="000000"/>
                      <w:sz w:val="32"/>
                      <w:szCs w:val="32"/>
                    </w:rPr>
                    <w:t>待个人</w:t>
                  </w:r>
                  <w:proofErr w:type="gramEnd"/>
                  <w:r w:rsidRPr="003B0D18">
                    <w:rPr>
                      <w:rFonts w:ascii="仿宋_GB2312" w:eastAsia="仿宋_GB2312" w:hAnsi="Calibri" w:cs="仿宋_GB2312" w:hint="eastAsia"/>
                      <w:color w:val="000000"/>
                      <w:sz w:val="32"/>
                      <w:szCs w:val="32"/>
                    </w:rPr>
                    <w:t>将股份转让时，依法征收个人所得税。</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4.企业改制成功并挂牌，从企业挂牌的当年起，以上年度所缴税收本级留成部分为基数，次年新增的部分给予奖励。仍在享受招商引资税收优惠政策的企业，低于本条奖励标准的执</w:t>
                  </w:r>
                  <w:r w:rsidRPr="003B0D18">
                    <w:rPr>
                      <w:rFonts w:ascii="仿宋_GB2312" w:eastAsia="仿宋_GB2312" w:hAnsi="Calibri" w:cs="仿宋_GB2312" w:hint="eastAsia"/>
                      <w:color w:val="000000"/>
                      <w:spacing w:val="-4"/>
                      <w:sz w:val="32"/>
                      <w:szCs w:val="32"/>
                    </w:rPr>
                    <w:t>行本条标准；高于本条标准的执行招商引资税收优惠政策标准。</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5.企业必须承诺企业上市首发融资和再融资所筹集的资金全部用在彭泽境内。同时，企业上市后5年内不得将公司注册地迁到彭泽境外。否则取消一切优惠并追回已兑现的所有扶持资金。</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6.申请上市企业与县政府就上述政府支持企业上市政策签订协议，县财政根据协议予以落实。企业从开始进行股份制改造后3年内未能实现上市的，全额</w:t>
                  </w:r>
                  <w:proofErr w:type="gramStart"/>
                  <w:r w:rsidRPr="003B0D18">
                    <w:rPr>
                      <w:rFonts w:ascii="仿宋_GB2312" w:eastAsia="仿宋_GB2312" w:hAnsi="Calibri" w:cs="仿宋_GB2312" w:hint="eastAsia"/>
                      <w:color w:val="000000"/>
                      <w:sz w:val="32"/>
                      <w:szCs w:val="32"/>
                    </w:rPr>
                    <w:t>退回县</w:t>
                  </w:r>
                  <w:proofErr w:type="gramEnd"/>
                  <w:r w:rsidRPr="003B0D18">
                    <w:rPr>
                      <w:rFonts w:ascii="仿宋_GB2312" w:eastAsia="仿宋_GB2312" w:hAnsi="Calibri" w:cs="仿宋_GB2312" w:hint="eastAsia"/>
                      <w:color w:val="000000"/>
                      <w:sz w:val="32"/>
                      <w:szCs w:val="32"/>
                    </w:rPr>
                    <w:t>财政给予的所有扶持资金。</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7.县融资担保平台根据拟上市企业发展需要优先为其担保融资。拟上市企业申请政府预算内的各类技术改造、技术开发与创新、科技成果转化及产业化等专项资金，凡符合条件的，各有关部门和单位要优先予以安排。人才培养、人员培训、技改扶持等鼓励企业发展的专项资金和优惠政策优先适用于拟上市企业。</w:t>
                  </w:r>
                </w:p>
                <w:p w:rsidR="003B0D18" w:rsidRPr="003B0D18" w:rsidRDefault="003B0D18" w:rsidP="003B0D18">
                  <w:pPr>
                    <w:snapToGrid w:val="0"/>
                    <w:spacing w:line="360" w:lineRule="auto"/>
                    <w:ind w:firstLineChars="200" w:firstLine="641"/>
                    <w:rPr>
                      <w:rFonts w:ascii="Calibri" w:eastAsia="宋体" w:hAnsi="Calibri" w:cs="Times New Roman"/>
                      <w:color w:val="000000"/>
                      <w:szCs w:val="21"/>
                    </w:rPr>
                  </w:pPr>
                  <w:r w:rsidRPr="003B0D18">
                    <w:rPr>
                      <w:rFonts w:ascii="楷体_GB2312" w:eastAsia="楷体_GB2312" w:hAnsi="Calibri" w:cs="楷体_GB2312" w:hint="eastAsia"/>
                      <w:b/>
                      <w:bCs/>
                      <w:color w:val="000000"/>
                      <w:sz w:val="32"/>
                      <w:szCs w:val="32"/>
                    </w:rPr>
                    <w:t>（四）建立补助机制</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1.对在主板（中小板）、创业板、新三板挂牌上市的企业，按照省、市、</w:t>
                  </w:r>
                  <w:proofErr w:type="gramStart"/>
                  <w:r w:rsidRPr="003B0D18">
                    <w:rPr>
                      <w:rFonts w:ascii="仿宋_GB2312" w:eastAsia="仿宋_GB2312" w:hAnsi="Calibri" w:cs="仿宋_GB2312" w:hint="eastAsia"/>
                      <w:color w:val="000000"/>
                      <w:sz w:val="32"/>
                      <w:szCs w:val="32"/>
                    </w:rPr>
                    <w:t>县上市</w:t>
                  </w:r>
                  <w:proofErr w:type="gramEnd"/>
                  <w:r w:rsidRPr="003B0D18">
                    <w:rPr>
                      <w:rFonts w:ascii="仿宋_GB2312" w:eastAsia="仿宋_GB2312" w:hAnsi="Calibri" w:cs="仿宋_GB2312" w:hint="eastAsia"/>
                      <w:color w:val="000000"/>
                      <w:sz w:val="32"/>
                      <w:szCs w:val="32"/>
                    </w:rPr>
                    <w:t>相关奖励政策予以奖励。</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2.对在新四板挂牌成功的，县财政按照每户给予2万元奖励，</w:t>
                  </w:r>
                  <w:r w:rsidRPr="003B0D18">
                    <w:rPr>
                      <w:rFonts w:ascii="仿宋_GB2312" w:eastAsia="仿宋_GB2312" w:hAnsi="Calibri" w:cs="仿宋_GB2312" w:hint="eastAsia"/>
                      <w:color w:val="000000"/>
                      <w:sz w:val="32"/>
                      <w:szCs w:val="32"/>
                    </w:rPr>
                    <w:lastRenderedPageBreak/>
                    <w:t xml:space="preserve">同时享受省、市上市相关奖励政策。 </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3.按成功上市的时间顺序，对在上交所、深交所上市的</w:t>
                  </w:r>
                  <w:r w:rsidRPr="003B0D18">
                    <w:rPr>
                      <w:rFonts w:ascii="仿宋_GB2312" w:eastAsia="仿宋_GB2312" w:hAnsi="Calibri" w:cs="仿宋_GB2312" w:hint="eastAsia"/>
                      <w:color w:val="000000"/>
                      <w:spacing w:val="8"/>
                      <w:sz w:val="32"/>
                      <w:szCs w:val="32"/>
                    </w:rPr>
                    <w:t>前三名企业，由县财政再分别给予100万、80万、50万奖励</w:t>
                  </w:r>
                  <w:r w:rsidRPr="003B0D18">
                    <w:rPr>
                      <w:rFonts w:ascii="仿宋_GB2312" w:eastAsia="仿宋_GB2312" w:hAnsi="Calibri" w:cs="仿宋_GB2312" w:hint="eastAsia"/>
                      <w:b/>
                      <w:bCs/>
                      <w:color w:val="000000"/>
                      <w:spacing w:val="8"/>
                      <w:sz w:val="32"/>
                      <w:szCs w:val="32"/>
                    </w:rPr>
                    <w:t>。</w:t>
                  </w:r>
                </w:p>
                <w:p w:rsidR="003B0D18" w:rsidRPr="003B0D18" w:rsidRDefault="003B0D18" w:rsidP="003B0D18">
                  <w:pPr>
                    <w:snapToGrid w:val="0"/>
                    <w:spacing w:line="360" w:lineRule="auto"/>
                    <w:ind w:firstLineChars="200" w:firstLine="680"/>
                    <w:rPr>
                      <w:rFonts w:ascii="Calibri" w:eastAsia="宋体" w:hAnsi="Calibri" w:cs="Times New Roman"/>
                      <w:color w:val="000000"/>
                      <w:szCs w:val="21"/>
                    </w:rPr>
                  </w:pPr>
                  <w:r w:rsidRPr="003B0D18">
                    <w:rPr>
                      <w:rFonts w:ascii="仿宋_GB2312" w:eastAsia="仿宋_GB2312" w:hAnsi="Calibri" w:cs="仿宋_GB2312" w:hint="eastAsia"/>
                      <w:color w:val="000000"/>
                      <w:spacing w:val="10"/>
                      <w:sz w:val="32"/>
                      <w:szCs w:val="32"/>
                    </w:rPr>
                    <w:t>4.对境外上市的，比照境内主板上市奖励政策进行补助。</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黑体" w:eastAsia="黑体" w:hAnsi="Calibri" w:cs="黑体" w:hint="eastAsia"/>
                      <w:color w:val="000000"/>
                      <w:sz w:val="32"/>
                      <w:szCs w:val="32"/>
                    </w:rPr>
                    <w:t>三、推进机制</w:t>
                  </w:r>
                </w:p>
                <w:p w:rsidR="003B0D18" w:rsidRPr="003B0D18" w:rsidRDefault="003B0D18" w:rsidP="003B0D18">
                  <w:pPr>
                    <w:snapToGrid w:val="0"/>
                    <w:spacing w:line="360" w:lineRule="auto"/>
                    <w:ind w:firstLineChars="200" w:firstLine="641"/>
                    <w:rPr>
                      <w:rFonts w:ascii="Calibri" w:eastAsia="宋体" w:hAnsi="Calibri" w:cs="Times New Roman"/>
                      <w:color w:val="000000"/>
                      <w:szCs w:val="21"/>
                    </w:rPr>
                  </w:pPr>
                  <w:r w:rsidRPr="003B0D18">
                    <w:rPr>
                      <w:rFonts w:ascii="楷体_GB2312" w:eastAsia="楷体_GB2312" w:hAnsi="Calibri" w:cs="楷体_GB2312" w:hint="eastAsia"/>
                      <w:b/>
                      <w:bCs/>
                      <w:color w:val="000000"/>
                      <w:sz w:val="32"/>
                      <w:szCs w:val="32"/>
                    </w:rPr>
                    <w:t>（一）成立工作机构。</w:t>
                  </w:r>
                  <w:r w:rsidRPr="003B0D18">
                    <w:rPr>
                      <w:rFonts w:ascii="仿宋_GB2312" w:eastAsia="仿宋_GB2312" w:hAnsi="Calibri" w:cs="仿宋_GB2312" w:hint="eastAsia"/>
                      <w:color w:val="000000"/>
                      <w:sz w:val="32"/>
                      <w:szCs w:val="32"/>
                    </w:rPr>
                    <w:t>成立县企业上市工作帮扶领导小组，负责统筹协调全县企业上市工作。县政府常务副县长任组长，分管副县长任副组长，县金融办、</w:t>
                  </w:r>
                  <w:proofErr w:type="gramStart"/>
                  <w:r w:rsidRPr="003B0D18">
                    <w:rPr>
                      <w:rFonts w:ascii="仿宋_GB2312" w:eastAsia="仿宋_GB2312" w:hAnsi="Calibri" w:cs="仿宋_GB2312" w:hint="eastAsia"/>
                      <w:color w:val="000000"/>
                      <w:sz w:val="32"/>
                      <w:szCs w:val="32"/>
                    </w:rPr>
                    <w:t>发改委</w:t>
                  </w:r>
                  <w:proofErr w:type="gramEnd"/>
                  <w:r w:rsidRPr="003B0D18">
                    <w:rPr>
                      <w:rFonts w:ascii="仿宋_GB2312" w:eastAsia="仿宋_GB2312" w:hAnsi="Calibri" w:cs="仿宋_GB2312" w:hint="eastAsia"/>
                      <w:color w:val="000000"/>
                      <w:sz w:val="32"/>
                      <w:szCs w:val="32"/>
                    </w:rPr>
                    <w:t>、财政局、工信委、</w:t>
                  </w:r>
                  <w:proofErr w:type="gramStart"/>
                  <w:r w:rsidRPr="003B0D18">
                    <w:rPr>
                      <w:rFonts w:ascii="仿宋_GB2312" w:eastAsia="仿宋_GB2312" w:hAnsi="Calibri" w:cs="仿宋_GB2312" w:hint="eastAsia"/>
                      <w:color w:val="000000"/>
                      <w:sz w:val="32"/>
                      <w:szCs w:val="32"/>
                    </w:rPr>
                    <w:t>人社局</w:t>
                  </w:r>
                  <w:proofErr w:type="gramEnd"/>
                  <w:r w:rsidRPr="003B0D18">
                    <w:rPr>
                      <w:rFonts w:ascii="仿宋_GB2312" w:eastAsia="仿宋_GB2312" w:hAnsi="Calibri" w:cs="仿宋_GB2312" w:hint="eastAsia"/>
                      <w:color w:val="000000"/>
                      <w:sz w:val="32"/>
                      <w:szCs w:val="32"/>
                    </w:rPr>
                    <w:t>、公安局、国土局、环保局、中小企业局、市场监督管理局、人行、园区管委会、国税局、地税局等相关单位主要负责人为成员。领导小组下设办公室（简称上市办），办公室设在县金融办，负责全县企业上市的日常工作。各成员单位要确定分管领导和联络员。</w:t>
                  </w:r>
                </w:p>
                <w:p w:rsidR="003B0D18" w:rsidRPr="003B0D18" w:rsidRDefault="003B0D18" w:rsidP="003B0D18">
                  <w:pPr>
                    <w:snapToGrid w:val="0"/>
                    <w:spacing w:line="360" w:lineRule="auto"/>
                    <w:ind w:firstLineChars="200" w:firstLine="641"/>
                    <w:rPr>
                      <w:rFonts w:ascii="Calibri" w:eastAsia="宋体" w:hAnsi="Calibri" w:cs="Times New Roman"/>
                      <w:color w:val="000000"/>
                      <w:szCs w:val="21"/>
                    </w:rPr>
                  </w:pPr>
                  <w:r w:rsidRPr="003B0D18">
                    <w:rPr>
                      <w:rFonts w:ascii="楷体_GB2312" w:eastAsia="楷体_GB2312" w:hAnsi="Calibri" w:cs="楷体_GB2312" w:hint="eastAsia"/>
                      <w:b/>
                      <w:bCs/>
                      <w:color w:val="000000"/>
                      <w:sz w:val="32"/>
                      <w:szCs w:val="32"/>
                    </w:rPr>
                    <w:t>（二）建立调度机制。</w:t>
                  </w:r>
                  <w:r w:rsidRPr="003B0D18">
                    <w:rPr>
                      <w:rFonts w:ascii="仿宋_GB2312" w:eastAsia="仿宋_GB2312" w:hAnsi="Calibri" w:cs="仿宋_GB2312" w:hint="eastAsia"/>
                      <w:color w:val="000000"/>
                      <w:sz w:val="32"/>
                      <w:szCs w:val="32"/>
                    </w:rPr>
                    <w:t>企业上市工作帮扶领导小组定期召开成员会议，听取企业上市工作汇报，研究解决企业上市工作的重大问题。受企业上市工作帮扶领导小组委托，由</w:t>
                  </w:r>
                  <w:proofErr w:type="gramStart"/>
                  <w:r w:rsidRPr="003B0D18">
                    <w:rPr>
                      <w:rFonts w:ascii="仿宋_GB2312" w:eastAsia="仿宋_GB2312" w:hAnsi="Calibri" w:cs="仿宋_GB2312" w:hint="eastAsia"/>
                      <w:color w:val="000000"/>
                      <w:sz w:val="32"/>
                      <w:szCs w:val="32"/>
                    </w:rPr>
                    <w:t>上市办</w:t>
                  </w:r>
                  <w:proofErr w:type="gramEnd"/>
                  <w:r w:rsidRPr="003B0D18">
                    <w:rPr>
                      <w:rFonts w:ascii="仿宋_GB2312" w:eastAsia="仿宋_GB2312" w:hAnsi="Calibri" w:cs="仿宋_GB2312" w:hint="eastAsia"/>
                      <w:color w:val="000000"/>
                      <w:sz w:val="32"/>
                      <w:szCs w:val="32"/>
                    </w:rPr>
                    <w:t>牵头定期或不定期召开企业上市工作联席会议，加强企业上市工作宣传，协调解决重点上市后备企业上市过程中具体困难和问题，并形成具体协调意见，报县政府同意后，由</w:t>
                  </w:r>
                  <w:r w:rsidRPr="003B0D18">
                    <w:rPr>
                      <w:rFonts w:ascii="仿宋_GB2312" w:eastAsia="仿宋_GB2312" w:hAnsi="Calibri" w:cs="仿宋_GB2312" w:hint="eastAsia"/>
                      <w:color w:val="000000"/>
                      <w:spacing w:val="4"/>
                      <w:sz w:val="32"/>
                      <w:szCs w:val="32"/>
                    </w:rPr>
                    <w:t>相关职能部门给予办理，县政府督查室、</w:t>
                  </w:r>
                  <w:proofErr w:type="gramStart"/>
                  <w:r w:rsidRPr="003B0D18">
                    <w:rPr>
                      <w:rFonts w:ascii="仿宋_GB2312" w:eastAsia="仿宋_GB2312" w:hAnsi="Calibri" w:cs="仿宋_GB2312" w:hint="eastAsia"/>
                      <w:color w:val="000000"/>
                      <w:spacing w:val="4"/>
                      <w:sz w:val="32"/>
                      <w:szCs w:val="32"/>
                    </w:rPr>
                    <w:t>上市办</w:t>
                  </w:r>
                  <w:proofErr w:type="gramEnd"/>
                  <w:r w:rsidRPr="003B0D18">
                    <w:rPr>
                      <w:rFonts w:ascii="仿宋_GB2312" w:eastAsia="仿宋_GB2312" w:hAnsi="Calibri" w:cs="仿宋_GB2312" w:hint="eastAsia"/>
                      <w:color w:val="000000"/>
                      <w:spacing w:val="4"/>
                      <w:sz w:val="32"/>
                      <w:szCs w:val="32"/>
                    </w:rPr>
                    <w:t>负责督办落实。</w:t>
                  </w:r>
                </w:p>
                <w:p w:rsidR="003B0D18" w:rsidRPr="003B0D18" w:rsidRDefault="003B0D18" w:rsidP="003B0D18">
                  <w:pPr>
                    <w:snapToGrid w:val="0"/>
                    <w:spacing w:line="360" w:lineRule="auto"/>
                    <w:ind w:firstLineChars="200" w:firstLine="641"/>
                    <w:rPr>
                      <w:rFonts w:ascii="Calibri" w:eastAsia="宋体" w:hAnsi="Calibri" w:cs="Times New Roman"/>
                      <w:color w:val="000000"/>
                      <w:szCs w:val="21"/>
                    </w:rPr>
                  </w:pPr>
                  <w:r w:rsidRPr="003B0D18">
                    <w:rPr>
                      <w:rFonts w:ascii="楷体_GB2312" w:eastAsia="楷体_GB2312" w:hAnsi="Calibri" w:cs="楷体_GB2312" w:hint="eastAsia"/>
                      <w:b/>
                      <w:bCs/>
                      <w:color w:val="000000"/>
                      <w:sz w:val="32"/>
                      <w:szCs w:val="32"/>
                    </w:rPr>
                    <w:t>（三）强化协调服务。</w:t>
                  </w:r>
                  <w:r w:rsidRPr="003B0D18">
                    <w:rPr>
                      <w:rFonts w:ascii="仿宋_GB2312" w:eastAsia="仿宋_GB2312" w:hAnsi="Calibri" w:cs="仿宋_GB2312" w:hint="eastAsia"/>
                      <w:color w:val="000000"/>
                      <w:sz w:val="32"/>
                      <w:szCs w:val="32"/>
                    </w:rPr>
                    <w:t>各有关职能部门要进一步解放思想、转变观念，主动服务、加强配合，及时为符合国家政策、法律和法规的重点上市后备企业办理相关行政许可手续。对重点上市后备企</w:t>
                  </w:r>
                  <w:r w:rsidRPr="003B0D18">
                    <w:rPr>
                      <w:rFonts w:ascii="仿宋_GB2312" w:eastAsia="仿宋_GB2312" w:hAnsi="Calibri" w:cs="仿宋_GB2312" w:hint="eastAsia"/>
                      <w:color w:val="000000"/>
                      <w:sz w:val="32"/>
                      <w:szCs w:val="32"/>
                    </w:rPr>
                    <w:lastRenderedPageBreak/>
                    <w:t>业改制上市过程中遇到的历史遗留问题和</w:t>
                  </w:r>
                  <w:r w:rsidRPr="003B0D18">
                    <w:rPr>
                      <w:rFonts w:ascii="仿宋_GB2312" w:eastAsia="仿宋_GB2312" w:hAnsi="Calibri" w:cs="仿宋_GB2312" w:hint="eastAsia"/>
                      <w:color w:val="000000"/>
                      <w:spacing w:val="4"/>
                      <w:sz w:val="32"/>
                      <w:szCs w:val="32"/>
                    </w:rPr>
                    <w:t>具体困难，采取“</w:t>
                  </w:r>
                  <w:proofErr w:type="gramStart"/>
                  <w:r w:rsidRPr="003B0D18">
                    <w:rPr>
                      <w:rFonts w:ascii="仿宋_GB2312" w:eastAsia="仿宋_GB2312" w:hAnsi="Calibri" w:cs="仿宋_GB2312" w:hint="eastAsia"/>
                      <w:color w:val="000000"/>
                      <w:spacing w:val="4"/>
                      <w:sz w:val="32"/>
                      <w:szCs w:val="32"/>
                    </w:rPr>
                    <w:t>一</w:t>
                  </w:r>
                  <w:proofErr w:type="gramEnd"/>
                  <w:r w:rsidRPr="003B0D18">
                    <w:rPr>
                      <w:rFonts w:ascii="仿宋_GB2312" w:eastAsia="仿宋_GB2312" w:hAnsi="Calibri" w:cs="仿宋_GB2312" w:hint="eastAsia"/>
                      <w:color w:val="000000"/>
                      <w:spacing w:val="4"/>
                      <w:sz w:val="32"/>
                      <w:szCs w:val="32"/>
                    </w:rPr>
                    <w:t>企</w:t>
                  </w:r>
                  <w:proofErr w:type="gramStart"/>
                  <w:r w:rsidRPr="003B0D18">
                    <w:rPr>
                      <w:rFonts w:ascii="仿宋_GB2312" w:eastAsia="仿宋_GB2312" w:hAnsi="Calibri" w:cs="仿宋_GB2312" w:hint="eastAsia"/>
                      <w:color w:val="000000"/>
                      <w:spacing w:val="4"/>
                      <w:sz w:val="32"/>
                      <w:szCs w:val="32"/>
                    </w:rPr>
                    <w:t>一</w:t>
                  </w:r>
                  <w:proofErr w:type="gramEnd"/>
                  <w:r w:rsidRPr="003B0D18">
                    <w:rPr>
                      <w:rFonts w:ascii="仿宋_GB2312" w:eastAsia="仿宋_GB2312" w:hAnsi="Calibri" w:cs="仿宋_GB2312" w:hint="eastAsia"/>
                      <w:color w:val="000000"/>
                      <w:spacing w:val="4"/>
                      <w:sz w:val="32"/>
                      <w:szCs w:val="32"/>
                    </w:rPr>
                    <w:t>策”、“</w:t>
                  </w:r>
                  <w:proofErr w:type="gramStart"/>
                  <w:r w:rsidRPr="003B0D18">
                    <w:rPr>
                      <w:rFonts w:ascii="仿宋_GB2312" w:eastAsia="仿宋_GB2312" w:hAnsi="Calibri" w:cs="仿宋_GB2312" w:hint="eastAsia"/>
                      <w:color w:val="000000"/>
                      <w:spacing w:val="4"/>
                      <w:sz w:val="32"/>
                      <w:szCs w:val="32"/>
                    </w:rPr>
                    <w:t>特</w:t>
                  </w:r>
                  <w:proofErr w:type="gramEnd"/>
                  <w:r w:rsidRPr="003B0D18">
                    <w:rPr>
                      <w:rFonts w:ascii="仿宋_GB2312" w:eastAsia="仿宋_GB2312" w:hAnsi="Calibri" w:cs="仿宋_GB2312" w:hint="eastAsia"/>
                      <w:color w:val="000000"/>
                      <w:spacing w:val="4"/>
                      <w:sz w:val="32"/>
                      <w:szCs w:val="32"/>
                    </w:rPr>
                    <w:t xml:space="preserve">事特办”方式予以协调解决。 </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黑体" w:eastAsia="黑体" w:hAnsi="Calibri" w:cs="黑体" w:hint="eastAsia"/>
                      <w:color w:val="000000"/>
                      <w:sz w:val="32"/>
                      <w:szCs w:val="32"/>
                    </w:rPr>
                    <w:t>四、其他事项</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（一）本办法由县金融办解释。</w:t>
                  </w:r>
                </w:p>
                <w:p w:rsidR="003B0D18" w:rsidRPr="003B0D18" w:rsidRDefault="003B0D18" w:rsidP="003B0D18">
                  <w:pPr>
                    <w:snapToGrid w:val="0"/>
                    <w:spacing w:line="360" w:lineRule="auto"/>
                    <w:ind w:firstLineChars="200" w:firstLine="640"/>
                    <w:rPr>
                      <w:rFonts w:ascii="Calibri" w:eastAsia="宋体" w:hAnsi="Calibri" w:cs="Times New Roman"/>
                      <w:color w:val="000000"/>
                      <w:szCs w:val="21"/>
                    </w:rPr>
                  </w:pPr>
                  <w:r w:rsidRPr="003B0D18">
                    <w:rPr>
                      <w:rFonts w:ascii="仿宋_GB2312" w:eastAsia="仿宋_GB2312" w:hAnsi="Calibri" w:cs="仿宋_GB2312" w:hint="eastAsia"/>
                      <w:color w:val="000000"/>
                      <w:sz w:val="32"/>
                      <w:szCs w:val="32"/>
                    </w:rPr>
                    <w:t>（二）本办法从发文之日起试行3年。此前出台的我县相关规定与本办法不一致的，按照本办法执行。</w:t>
                  </w:r>
                </w:p>
                <w:p w:rsidR="003B0D18" w:rsidRPr="003B0D18" w:rsidRDefault="003B0D18" w:rsidP="003B0D18">
                  <w:pPr>
                    <w:snapToGrid w:val="0"/>
                    <w:spacing w:line="360" w:lineRule="auto"/>
                    <w:rPr>
                      <w:rFonts w:ascii="Calibri" w:eastAsia="宋体" w:hAnsi="Calibri" w:cs="Times New Roman"/>
                      <w:color w:val="000000"/>
                      <w:szCs w:val="21"/>
                    </w:rPr>
                  </w:pPr>
                  <w:r w:rsidRPr="003B0D18">
                    <w:rPr>
                      <w:rFonts w:ascii="Calibri" w:eastAsia="宋体" w:hAnsi="Calibri" w:cs="Times New Roman"/>
                      <w:noProof/>
                      <w:color w:val="000000"/>
                      <w:szCs w:val="21"/>
                    </w:rPr>
                    <w:drawing>
                      <wp:inline distT="0" distB="0" distL="0" distR="0">
                        <wp:extent cx="5391150" cy="25400"/>
                        <wp:effectExtent l="0" t="0" r="0" b="0"/>
                        <wp:docPr id="2" name="图片 2" descr="http://www.pengze.gov.cn/edit/uploadfile/201701/20170105100215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ngze.gov.cn/edit/uploadfile/201701/2017010510021531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25400"/>
                                </a:xfrm>
                                <a:prstGeom prst="rect">
                                  <a:avLst/>
                                </a:prstGeom>
                                <a:noFill/>
                                <a:ln>
                                  <a:noFill/>
                                </a:ln>
                              </pic:spPr>
                            </pic:pic>
                          </a:graphicData>
                        </a:graphic>
                      </wp:inline>
                    </w:drawing>
                  </w:r>
                </w:p>
                <w:p w:rsidR="003B0D18" w:rsidRPr="003B0D18" w:rsidRDefault="003B0D18" w:rsidP="003B0D18">
                  <w:pPr>
                    <w:snapToGrid w:val="0"/>
                    <w:spacing w:line="360" w:lineRule="auto"/>
                    <w:ind w:firstLineChars="100" w:firstLine="210"/>
                    <w:rPr>
                      <w:rFonts w:ascii="Calibri" w:eastAsia="宋体" w:hAnsi="Calibri" w:cs="Times New Roman"/>
                      <w:color w:val="000000"/>
                      <w:szCs w:val="21"/>
                    </w:rPr>
                  </w:pPr>
                  <w:r w:rsidRPr="003B0D18">
                    <w:rPr>
                      <w:rFonts w:ascii="Calibri" w:eastAsia="宋体" w:hAnsi="Calibri" w:cs="Times New Roman"/>
                      <w:noProof/>
                      <w:color w:val="000000"/>
                      <w:szCs w:val="21"/>
                    </w:rPr>
                    <w:drawing>
                      <wp:inline distT="0" distB="0" distL="0" distR="0">
                        <wp:extent cx="5391150" cy="25400"/>
                        <wp:effectExtent l="0" t="0" r="0" b="0"/>
                        <wp:docPr id="1" name="图片 1" descr="http://www.pengze.gov.cn/edit/uploadfile/201701/20170105100215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ngze.gov.cn/edit/uploadfile/201701/2017010510021531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25400"/>
                                </a:xfrm>
                                <a:prstGeom prst="rect">
                                  <a:avLst/>
                                </a:prstGeom>
                                <a:noFill/>
                                <a:ln>
                                  <a:noFill/>
                                </a:ln>
                              </pic:spPr>
                            </pic:pic>
                          </a:graphicData>
                        </a:graphic>
                      </wp:inline>
                    </w:drawing>
                  </w:r>
                  <w:r w:rsidRPr="003B0D18">
                    <w:rPr>
                      <w:rFonts w:ascii="仿宋_GB2312" w:eastAsia="仿宋_GB2312" w:hAnsi="Calibri" w:cs="Times New Roman" w:hint="eastAsia"/>
                      <w:color w:val="000000"/>
                      <w:sz w:val="28"/>
                      <w:szCs w:val="28"/>
                    </w:rPr>
                    <w:t>彭泽县人民政府办公室                  2016年12月13日印发</w:t>
                  </w:r>
                </w:p>
              </w:tc>
            </w:tr>
          </w:tbl>
          <w:p w:rsidR="003B0D18" w:rsidRPr="003B0D18" w:rsidRDefault="003B0D18" w:rsidP="003B0D18">
            <w:pPr>
              <w:widowControl/>
              <w:jc w:val="left"/>
              <w:rPr>
                <w:rFonts w:ascii="宋体" w:eastAsia="宋体" w:hAnsi="宋体" w:cs="宋体"/>
                <w:color w:val="000000"/>
                <w:kern w:val="0"/>
                <w:sz w:val="20"/>
                <w:szCs w:val="20"/>
              </w:rPr>
            </w:pPr>
          </w:p>
        </w:tc>
      </w:tr>
    </w:tbl>
    <w:p w:rsidR="00BC59B4" w:rsidRPr="003B0D18" w:rsidRDefault="00BC59B4"/>
    <w:sectPr w:rsidR="00BC59B4" w:rsidRPr="003B0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18"/>
    <w:rsid w:val="003B0D18"/>
    <w:rsid w:val="00BC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998B2-4645-454B-9245-C80D3593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0D18"/>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9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2018-05-09T11:26:00Z</dcterms:created>
  <dcterms:modified xsi:type="dcterms:W3CDTF">2018-05-09T11:26:00Z</dcterms:modified>
</cp:coreProperties>
</file>