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68D" w:rsidRDefault="00B6668D" w:rsidP="00B6668D">
      <w:pPr>
        <w:widowControl/>
        <w:numPr>
          <w:ilvl w:val="0"/>
          <w:numId w:val="1"/>
        </w:numPr>
        <w:shd w:val="clear" w:color="auto" w:fill="F3F3F3"/>
        <w:ind w:left="360" w:right="360"/>
        <w:jc w:val="left"/>
        <w:rPr>
          <w:rFonts w:ascii="微软雅黑" w:eastAsia="微软雅黑" w:hAnsi="微软雅黑" w:cs="宋体"/>
          <w:color w:val="000000"/>
          <w:kern w:val="0"/>
          <w:szCs w:val="21"/>
        </w:rPr>
      </w:pPr>
      <w:r>
        <w:rPr>
          <w:rFonts w:ascii="微软雅黑" w:eastAsia="微软雅黑" w:hAnsi="微软雅黑"/>
          <w:color w:val="000000"/>
          <w:szCs w:val="21"/>
        </w:rPr>
        <w:fldChar w:fldCharType="begin"/>
      </w:r>
      <w:r>
        <w:rPr>
          <w:rFonts w:ascii="微软雅黑" w:eastAsia="微软雅黑" w:hAnsi="微软雅黑"/>
          <w:color w:val="000000"/>
          <w:szCs w:val="21"/>
        </w:rPr>
        <w:instrText xml:space="preserve"> HYPERLINK "javascript:void(0)" </w:instrText>
      </w:r>
      <w:r>
        <w:rPr>
          <w:rFonts w:ascii="微软雅黑" w:eastAsia="微软雅黑" w:hAnsi="微软雅黑"/>
          <w:color w:val="000000"/>
          <w:szCs w:val="21"/>
        </w:rPr>
        <w:fldChar w:fldCharType="separate"/>
      </w:r>
      <w:r>
        <w:rPr>
          <w:rStyle w:val="a5"/>
          <w:rFonts w:ascii="微软雅黑" w:eastAsia="微软雅黑" w:hAnsi="微软雅黑" w:hint="eastAsia"/>
          <w:color w:val="FFFFFF"/>
        </w:rPr>
        <w:t>索引号:</w:t>
      </w:r>
      <w:r>
        <w:rPr>
          <w:rFonts w:ascii="微软雅黑" w:eastAsia="微软雅黑" w:hAnsi="微软雅黑"/>
          <w:color w:val="000000"/>
          <w:szCs w:val="21"/>
        </w:rPr>
        <w:fldChar w:fldCharType="end"/>
      </w:r>
      <w:r>
        <w:rPr>
          <w:rFonts w:ascii="微软雅黑" w:eastAsia="微软雅黑" w:hAnsi="微软雅黑" w:hint="eastAsia"/>
          <w:color w:val="666666"/>
          <w:szCs w:val="21"/>
          <w:shd w:val="clear" w:color="auto" w:fill="F3F3F3"/>
        </w:rPr>
        <w:t>GZ000001/2015-02201</w:t>
      </w:r>
    </w:p>
    <w:p w:rsidR="00B6668D" w:rsidRDefault="00B6668D" w:rsidP="00B6668D">
      <w:pPr>
        <w:widowControl/>
        <w:numPr>
          <w:ilvl w:val="0"/>
          <w:numId w:val="1"/>
        </w:numPr>
        <w:shd w:val="clear" w:color="auto" w:fill="F3F3F3"/>
        <w:spacing w:line="600" w:lineRule="atLeast"/>
        <w:ind w:left="420" w:right="360"/>
        <w:jc w:val="left"/>
        <w:rPr>
          <w:rFonts w:ascii="微软雅黑" w:eastAsia="微软雅黑" w:hAnsi="微软雅黑" w:hint="eastAsia"/>
          <w:color w:val="000000"/>
          <w:szCs w:val="21"/>
        </w:rPr>
      </w:pPr>
      <w:hyperlink r:id="rId6" w:history="1">
        <w:r>
          <w:rPr>
            <w:rStyle w:val="a5"/>
            <w:rFonts w:ascii="微软雅黑" w:eastAsia="微软雅黑" w:hAnsi="微软雅黑" w:hint="eastAsia"/>
            <w:color w:val="FFFFFF"/>
          </w:rPr>
          <w:t>信息分类:</w:t>
        </w:r>
      </w:hyperlink>
      <w:r>
        <w:rPr>
          <w:rFonts w:ascii="微软雅黑" w:eastAsia="微软雅黑" w:hAnsi="微软雅黑" w:hint="eastAsia"/>
          <w:color w:val="666666"/>
          <w:szCs w:val="21"/>
          <w:shd w:val="clear" w:color="auto" w:fill="F3F3F3"/>
        </w:rPr>
        <w:t>新区文件</w:t>
      </w:r>
    </w:p>
    <w:p w:rsidR="00B6668D" w:rsidRDefault="00B6668D" w:rsidP="00B6668D">
      <w:pPr>
        <w:widowControl/>
        <w:numPr>
          <w:ilvl w:val="0"/>
          <w:numId w:val="1"/>
        </w:numPr>
        <w:shd w:val="clear" w:color="auto" w:fill="F3F3F3"/>
        <w:ind w:left="360" w:right="360"/>
        <w:jc w:val="left"/>
        <w:rPr>
          <w:rFonts w:ascii="微软雅黑" w:eastAsia="微软雅黑" w:hAnsi="微软雅黑" w:hint="eastAsia"/>
          <w:color w:val="000000"/>
          <w:szCs w:val="21"/>
        </w:rPr>
      </w:pPr>
      <w:hyperlink r:id="rId7" w:history="1">
        <w:r>
          <w:rPr>
            <w:rStyle w:val="a5"/>
            <w:rFonts w:ascii="微软雅黑" w:eastAsia="微软雅黑" w:hAnsi="微软雅黑" w:hint="eastAsia"/>
            <w:color w:val="FFFFFF"/>
          </w:rPr>
          <w:t>发布机构:</w:t>
        </w:r>
      </w:hyperlink>
      <w:r>
        <w:rPr>
          <w:rFonts w:ascii="微软雅黑" w:eastAsia="微软雅黑" w:hAnsi="微软雅黑" w:hint="eastAsia"/>
          <w:color w:val="666666"/>
          <w:szCs w:val="21"/>
          <w:shd w:val="clear" w:color="auto" w:fill="F3F3F3"/>
        </w:rPr>
        <w:t>贵安新区办公室</w:t>
      </w:r>
    </w:p>
    <w:p w:rsidR="00B6668D" w:rsidRDefault="00B6668D" w:rsidP="00B6668D">
      <w:pPr>
        <w:widowControl/>
        <w:numPr>
          <w:ilvl w:val="0"/>
          <w:numId w:val="1"/>
        </w:numPr>
        <w:shd w:val="clear" w:color="auto" w:fill="F3F3F3"/>
        <w:spacing w:line="600" w:lineRule="atLeast"/>
        <w:ind w:left="420" w:right="360"/>
        <w:jc w:val="left"/>
        <w:rPr>
          <w:rFonts w:ascii="微软雅黑" w:eastAsia="微软雅黑" w:hAnsi="微软雅黑" w:hint="eastAsia"/>
          <w:color w:val="000000"/>
          <w:szCs w:val="21"/>
        </w:rPr>
      </w:pPr>
      <w:hyperlink r:id="rId8" w:history="1">
        <w:r>
          <w:rPr>
            <w:rStyle w:val="a5"/>
            <w:rFonts w:ascii="微软雅黑" w:eastAsia="微软雅黑" w:hAnsi="微软雅黑" w:hint="eastAsia"/>
            <w:color w:val="FFFFFF"/>
          </w:rPr>
          <w:t>发文日期:</w:t>
        </w:r>
      </w:hyperlink>
      <w:r>
        <w:rPr>
          <w:rFonts w:ascii="微软雅黑" w:eastAsia="微软雅黑" w:hAnsi="微软雅黑" w:hint="eastAsia"/>
          <w:color w:val="666666"/>
          <w:szCs w:val="21"/>
          <w:shd w:val="clear" w:color="auto" w:fill="F3F3F3"/>
        </w:rPr>
        <w:t>2015年03月02日</w:t>
      </w:r>
    </w:p>
    <w:p w:rsidR="00B6668D" w:rsidRDefault="00B6668D" w:rsidP="00B6668D">
      <w:pPr>
        <w:widowControl/>
        <w:numPr>
          <w:ilvl w:val="0"/>
          <w:numId w:val="1"/>
        </w:numPr>
        <w:shd w:val="clear" w:color="auto" w:fill="F3F3F3"/>
        <w:ind w:left="360" w:right="360"/>
        <w:jc w:val="left"/>
        <w:rPr>
          <w:rFonts w:ascii="微软雅黑" w:eastAsia="微软雅黑" w:hAnsi="微软雅黑" w:hint="eastAsia"/>
          <w:color w:val="000000"/>
          <w:szCs w:val="21"/>
        </w:rPr>
      </w:pPr>
      <w:hyperlink r:id="rId9" w:history="1">
        <w:r>
          <w:rPr>
            <w:rStyle w:val="a5"/>
            <w:rFonts w:ascii="微软雅黑" w:eastAsia="微软雅黑" w:hAnsi="微软雅黑" w:hint="eastAsia"/>
            <w:color w:val="FFFFFF"/>
          </w:rPr>
          <w:t>文号:</w:t>
        </w:r>
      </w:hyperlink>
    </w:p>
    <w:p w:rsidR="00B6668D" w:rsidRDefault="00B6668D" w:rsidP="00B6668D">
      <w:pPr>
        <w:widowControl/>
        <w:numPr>
          <w:ilvl w:val="0"/>
          <w:numId w:val="1"/>
        </w:numPr>
        <w:shd w:val="clear" w:color="auto" w:fill="F3F3F3"/>
        <w:spacing w:line="600" w:lineRule="atLeast"/>
        <w:ind w:left="420" w:right="360"/>
        <w:jc w:val="left"/>
        <w:rPr>
          <w:rFonts w:ascii="微软雅黑" w:eastAsia="微软雅黑" w:hAnsi="微软雅黑" w:hint="eastAsia"/>
          <w:color w:val="000000"/>
          <w:szCs w:val="21"/>
        </w:rPr>
      </w:pPr>
      <w:hyperlink r:id="rId10" w:history="1">
        <w:r>
          <w:rPr>
            <w:rStyle w:val="a5"/>
            <w:rFonts w:ascii="微软雅黑" w:eastAsia="微软雅黑" w:hAnsi="微软雅黑" w:hint="eastAsia"/>
            <w:color w:val="FFFFFF"/>
          </w:rPr>
          <w:t>是否有效:</w:t>
        </w:r>
      </w:hyperlink>
      <w:r>
        <w:rPr>
          <w:rFonts w:ascii="微软雅黑" w:eastAsia="微软雅黑" w:hAnsi="微软雅黑" w:hint="eastAsia"/>
          <w:color w:val="000000"/>
          <w:szCs w:val="21"/>
        </w:rPr>
        <w:t> </w:t>
      </w:r>
      <w:r>
        <w:rPr>
          <w:rFonts w:ascii="微软雅黑" w:eastAsia="微软雅黑" w:hAnsi="微软雅黑" w:hint="eastAsia"/>
          <w:color w:val="000000"/>
          <w:szCs w:val="21"/>
        </w:rPr>
        <w:t>是</w:t>
      </w:r>
    </w:p>
    <w:p w:rsidR="00B6668D" w:rsidRDefault="00B6668D" w:rsidP="00B6668D">
      <w:pPr>
        <w:widowControl/>
        <w:numPr>
          <w:ilvl w:val="0"/>
          <w:numId w:val="1"/>
        </w:numPr>
        <w:shd w:val="clear" w:color="auto" w:fill="F3F3F3"/>
        <w:ind w:left="360" w:right="360"/>
        <w:jc w:val="left"/>
        <w:rPr>
          <w:rFonts w:ascii="微软雅黑" w:eastAsia="微软雅黑" w:hAnsi="微软雅黑" w:hint="eastAsia"/>
          <w:color w:val="000000"/>
          <w:szCs w:val="21"/>
        </w:rPr>
      </w:pPr>
      <w:hyperlink r:id="rId11" w:history="1">
        <w:r>
          <w:rPr>
            <w:rStyle w:val="a5"/>
            <w:rFonts w:ascii="微软雅黑" w:eastAsia="微软雅黑" w:hAnsi="微软雅黑" w:hint="eastAsia"/>
            <w:color w:val="FFFFFF"/>
          </w:rPr>
          <w:t>信息名称:</w:t>
        </w:r>
      </w:hyperlink>
      <w:r>
        <w:rPr>
          <w:rFonts w:ascii="微软雅黑" w:eastAsia="微软雅黑" w:hAnsi="微软雅黑" w:hint="eastAsia"/>
          <w:color w:val="666666"/>
          <w:szCs w:val="21"/>
          <w:shd w:val="clear" w:color="auto" w:fill="F3F3F3"/>
        </w:rPr>
        <w:t>贵安新区关于深化科技体制改革提升科技创新能力的若干政策措施(试行)</w:t>
      </w:r>
    </w:p>
    <w:p w:rsidR="00B6668D" w:rsidRDefault="00B6668D" w:rsidP="00B6668D">
      <w:pPr>
        <w:pStyle w:val="1"/>
        <w:shd w:val="clear" w:color="auto" w:fill="FFFFFF"/>
        <w:spacing w:before="0" w:after="0"/>
        <w:jc w:val="center"/>
        <w:rPr>
          <w:rFonts w:ascii="微软雅黑" w:eastAsia="微软雅黑" w:hAnsi="微软雅黑" w:hint="eastAsia"/>
          <w:color w:val="CC0000"/>
          <w:sz w:val="36"/>
          <w:szCs w:val="36"/>
        </w:rPr>
      </w:pPr>
      <w:r>
        <w:rPr>
          <w:rFonts w:ascii="微软雅黑" w:eastAsia="微软雅黑" w:hAnsi="微软雅黑" w:hint="eastAsia"/>
          <w:color w:val="CC0000"/>
          <w:sz w:val="36"/>
          <w:szCs w:val="36"/>
        </w:rPr>
        <w:t>贵安新区关于深化科技体制改革提升科技创新能力的若干政策措施(试行)</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为深化贵安新区科技体制机制改革，激发大众创业、万众创新活力，构建“政、产、学、</w:t>
      </w:r>
      <w:proofErr w:type="gramStart"/>
      <w:r>
        <w:rPr>
          <w:rFonts w:ascii="微软雅黑" w:eastAsia="微软雅黑" w:hAnsi="微软雅黑" w:hint="eastAsia"/>
          <w:color w:val="333333"/>
        </w:rPr>
        <w:t>研</w:t>
      </w:r>
      <w:proofErr w:type="gramEnd"/>
      <w:r>
        <w:rPr>
          <w:rFonts w:ascii="微软雅黑" w:eastAsia="微软雅黑" w:hAnsi="微软雅黑" w:hint="eastAsia"/>
          <w:color w:val="333333"/>
        </w:rPr>
        <w:t>、资、服”六位一体的区域协同创新体系，实现创新驱动发展，特制定本措施。</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一、建立健全科技计划管理机制</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)优化科技计划结构，完善重大科技专项、基本计划和专项资金构成的基本结构。</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(二)设立科技创新应用与研究开发专项资金，用于支持基础研究、应用研究、中期试验、成果转化、专利开发、创新主体培育、服务平台建设等。</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(三)完善企业申报、专家(第三方)评审、社会公示和行政部门决策的财政科技经费投入机制，逐步实行行政部门不直接管理具体项目，由专业机构管理的模</w:t>
      </w:r>
      <w:r>
        <w:rPr>
          <w:rFonts w:ascii="微软雅黑" w:eastAsia="微软雅黑" w:hAnsi="微软雅黑" w:hint="eastAsia"/>
          <w:color w:val="333333"/>
        </w:rPr>
        <w:lastRenderedPageBreak/>
        <w:t>式。</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二、创新财政科技经费投入方式</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)大力推行投资引导、梯级贴息、风险补偿、奖励资助等制度改革，发挥财政科技经费的杠杆激励效用。</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(二)完善后补助政策措施，对根据市场需求先行投入资金开展研究开发、成果转化、产业化和科技服务并取得明显经济、社会效益或服务绩效的研究与开发活动，给予后期补助支持。</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(三)建立创新成果采购制，编制采购自主创新产品目录，实行动态管理。对自主创新产品，同等条件下，优先采购新区内的自主创新产品。</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(四)实施</w:t>
      </w:r>
      <w:proofErr w:type="gramStart"/>
      <w:r>
        <w:rPr>
          <w:rFonts w:ascii="微软雅黑" w:eastAsia="微软雅黑" w:hAnsi="微软雅黑" w:hint="eastAsia"/>
          <w:color w:val="333333"/>
        </w:rPr>
        <w:t>政府首购制</w:t>
      </w:r>
      <w:proofErr w:type="gramEnd"/>
      <w:r>
        <w:rPr>
          <w:rFonts w:ascii="微软雅黑" w:eastAsia="微软雅黑" w:hAnsi="微软雅黑" w:hint="eastAsia"/>
          <w:color w:val="333333"/>
        </w:rPr>
        <w:t>，对符合先进技术发展要求的试制品;对首次投放市场具有自主知识产权的高新技术产品;对中小企业技术含量高的自主创新产品;政府优先首购。</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三、建立新区科技资源共享服务平台</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)鼓励高校、科研院所与新区开展战略合作，建立大型科学仪器、科研设施运行和共享机制。支持重大科技基础设施运营机构及科技资源共享平台建设，为新区企业服务，提升企业科技创新能力。</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(二)整合科技信息、检验检测、科技金融、技术转移、创业载体等服务资源，搭建科技中小企业综合服务平台。</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四、加快推进科技创新平台建设</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)在新区内建立的省级以上产业技术创新联盟;在新区内新认定为国家级、</w:t>
      </w:r>
      <w:r>
        <w:rPr>
          <w:rFonts w:ascii="微软雅黑" w:eastAsia="微软雅黑" w:hAnsi="微软雅黑" w:hint="eastAsia"/>
          <w:color w:val="333333"/>
        </w:rPr>
        <w:lastRenderedPageBreak/>
        <w:t>省级的工程(技术)研究中心、重点实验室的，除省级补助外，新区再按省级补助资金的50%进行匹配。</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二)鼓励建设以市场为导向的新型研发机构，对落户新区的省级以上(含省级)产业技术发展研究院给予一次性50万元开办补贴。国内外知名高校的大学科技园或重要科研院所的产业化基地实体落户新区的给予一次性300-500万元开办补助。</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(三)国内外知名的高等院校、科研院所将新成立的工程(技术)研究中心在新区内注册，或者将重要的科研机构、重点(工程)实验室等在新区内以独立法人形式注册，给予60万元补贴。</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四)在新区内新获批建设的国家级、省级研发机构的;国内外知名高校院所在新区内设立国家级、省级技术转移和成果转化机构(或其分支机构)并取得实际成效的;国内外知名企业、跨国公司等在新区内建立新型研发机构并取得实际成效的，经认定后，除</w:t>
      </w:r>
      <w:proofErr w:type="gramStart"/>
      <w:r>
        <w:rPr>
          <w:rFonts w:ascii="微软雅黑" w:eastAsia="微软雅黑" w:hAnsi="微软雅黑" w:hint="eastAsia"/>
          <w:color w:val="333333"/>
        </w:rPr>
        <w:t>省级资金</w:t>
      </w:r>
      <w:proofErr w:type="gramEnd"/>
      <w:r>
        <w:rPr>
          <w:rFonts w:ascii="微软雅黑" w:eastAsia="微软雅黑" w:hAnsi="微软雅黑" w:hint="eastAsia"/>
          <w:color w:val="333333"/>
        </w:rPr>
        <w:t>补助外，新区再按省级补助资金的50%进行匹配。</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(五)在新区内首次认定为国家级、省级科技企业孵化器的，分别一次性给予250万元、150万元补助。新建并经国家认定的大学科技园、科技企业孵化器，</w:t>
      </w:r>
      <w:proofErr w:type="gramStart"/>
      <w:r>
        <w:rPr>
          <w:rFonts w:ascii="微软雅黑" w:eastAsia="微软雅黑" w:hAnsi="微软雅黑" w:hint="eastAsia"/>
          <w:color w:val="333333"/>
        </w:rPr>
        <w:t>自认定</w:t>
      </w:r>
      <w:proofErr w:type="gramEnd"/>
      <w:r>
        <w:rPr>
          <w:rFonts w:ascii="微软雅黑" w:eastAsia="微软雅黑" w:hAnsi="微软雅黑" w:hint="eastAsia"/>
          <w:color w:val="333333"/>
        </w:rPr>
        <w:t>之日起一定期限内，按国家有关规定免征营业税、房产税和城镇土地使用税。</w:t>
      </w:r>
      <w:proofErr w:type="gramStart"/>
      <w:r>
        <w:rPr>
          <w:rFonts w:ascii="微软雅黑" w:eastAsia="微软雅黑" w:hAnsi="微软雅黑" w:hint="eastAsia"/>
          <w:color w:val="333333"/>
        </w:rPr>
        <w:t>入驻新区</w:t>
      </w:r>
      <w:proofErr w:type="gramEnd"/>
      <w:r>
        <w:rPr>
          <w:rFonts w:ascii="微软雅黑" w:eastAsia="微软雅黑" w:hAnsi="微软雅黑" w:hint="eastAsia"/>
          <w:color w:val="333333"/>
        </w:rPr>
        <w:t>的企业利用现有房产资源改(扩建)孵化器(加速器)并取得实际成效的，按照20元/平方米的标准给予一次性后期补助，最高不超过200万元。</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五、加快培育企业创新主体地位</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)新区内企业，经省级遴选成为科技型种子企业、小巨人成长企业及小巨人企业的，按照后补助支持方式，除省级补助资金外，新区再按</w:t>
      </w:r>
      <w:proofErr w:type="gramStart"/>
      <w:r>
        <w:rPr>
          <w:rFonts w:ascii="微软雅黑" w:eastAsia="微软雅黑" w:hAnsi="微软雅黑" w:hint="eastAsia"/>
          <w:color w:val="333333"/>
        </w:rPr>
        <w:t>省级资金</w:t>
      </w:r>
      <w:proofErr w:type="gramEnd"/>
      <w:r>
        <w:rPr>
          <w:rFonts w:ascii="微软雅黑" w:eastAsia="微软雅黑" w:hAnsi="微软雅黑" w:hint="eastAsia"/>
          <w:color w:val="333333"/>
        </w:rPr>
        <w:t>的50%</w:t>
      </w:r>
      <w:r>
        <w:rPr>
          <w:rFonts w:ascii="微软雅黑" w:eastAsia="微软雅黑" w:hAnsi="微软雅黑" w:hint="eastAsia"/>
          <w:color w:val="333333"/>
        </w:rPr>
        <w:lastRenderedPageBreak/>
        <w:t>进行匹配，最高不超过50万元。</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(二)新区内企业成功申报省级科技计划项目并验收合格的，除省级补助资金外，新区再按</w:t>
      </w:r>
      <w:proofErr w:type="gramStart"/>
      <w:r>
        <w:rPr>
          <w:rFonts w:ascii="微软雅黑" w:eastAsia="微软雅黑" w:hAnsi="微软雅黑" w:hint="eastAsia"/>
          <w:color w:val="333333"/>
        </w:rPr>
        <w:t>省级资金</w:t>
      </w:r>
      <w:proofErr w:type="gramEnd"/>
      <w:r>
        <w:rPr>
          <w:rFonts w:ascii="微软雅黑" w:eastAsia="微软雅黑" w:hAnsi="微软雅黑" w:hint="eastAsia"/>
          <w:color w:val="333333"/>
        </w:rPr>
        <w:t>的50%进行匹配，最高不超过50万元。</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(三)获得贵州省科技型中小企业技术创新基金资助的项目，经验收合格后，新区再按省级补助资金的50%进行匹配，最高不超过100万元。</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(四)落户新区的企业，租用区内科技企业孵化器或加速器，孵化成为科技型企业的，给予一年的房租补贴，单个企业补贴的场地面积上限为2000平方米。</w:t>
      </w:r>
      <w:proofErr w:type="gramStart"/>
      <w:r>
        <w:rPr>
          <w:rFonts w:ascii="微软雅黑" w:eastAsia="微软雅黑" w:hAnsi="微软雅黑" w:hint="eastAsia"/>
          <w:color w:val="333333"/>
        </w:rPr>
        <w:t>入驻新区</w:t>
      </w:r>
      <w:proofErr w:type="gramEnd"/>
      <w:r>
        <w:rPr>
          <w:rFonts w:ascii="微软雅黑" w:eastAsia="微软雅黑" w:hAnsi="微软雅黑" w:hint="eastAsia"/>
          <w:color w:val="333333"/>
        </w:rPr>
        <w:t>的企业，经孵化后成为上市企业的，按照每孵化一家企业5万元的标准，对科技企业孵化器或加速器给予一次性奖励。</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(五)支持个人、高校、科研院所和企业在新区内单独设立或联合设立科技型内资公司，以知识产权等无形资产作价出资(入股)的，知识产权等无形资产占注册资本的比例(折算比例)可达70%。</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(六)新区内新认定为国家级、省级企业技术中心、检测中心和技术创新示范企业的;新获得国家、省级创新型企业命名的企业，除省级补助资金外，新区再按</w:t>
      </w:r>
      <w:proofErr w:type="gramStart"/>
      <w:r>
        <w:rPr>
          <w:rFonts w:ascii="微软雅黑" w:eastAsia="微软雅黑" w:hAnsi="微软雅黑" w:hint="eastAsia"/>
          <w:color w:val="333333"/>
        </w:rPr>
        <w:t>省级资金</w:t>
      </w:r>
      <w:proofErr w:type="gramEnd"/>
      <w:r>
        <w:rPr>
          <w:rFonts w:ascii="微软雅黑" w:eastAsia="微软雅黑" w:hAnsi="微软雅黑" w:hint="eastAsia"/>
          <w:color w:val="333333"/>
        </w:rPr>
        <w:t>的50%进行匹配。</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(七)新区内企业入选贵州省创新型领军企业进行培育的，按照《贵州省创新型领军企业遴选及培育办法(试行)》的规定予以重点扶持，助推其成为国内国际行业的领军企业。</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(八)新区内首次获得高新技术企业资格认定的企业，除省级补助资金外，新区再一次性给予10万元奖励，并落实国家税法规定的优惠政策。在</w:t>
      </w:r>
      <w:proofErr w:type="gramStart"/>
      <w:r>
        <w:rPr>
          <w:rFonts w:ascii="微软雅黑" w:eastAsia="微软雅黑" w:hAnsi="微软雅黑" w:hint="eastAsia"/>
          <w:color w:val="333333"/>
        </w:rPr>
        <w:t>孵企业</w:t>
      </w:r>
      <w:proofErr w:type="gramEnd"/>
      <w:r>
        <w:rPr>
          <w:rFonts w:ascii="微软雅黑" w:eastAsia="微软雅黑" w:hAnsi="微软雅黑" w:hint="eastAsia"/>
          <w:color w:val="333333"/>
        </w:rPr>
        <w:t>被认</w:t>
      </w:r>
      <w:r>
        <w:rPr>
          <w:rFonts w:ascii="微软雅黑" w:eastAsia="微软雅黑" w:hAnsi="微软雅黑" w:hint="eastAsia"/>
          <w:color w:val="333333"/>
        </w:rPr>
        <w:lastRenderedPageBreak/>
        <w:t>定为高新技术企业的，每认定1家给予科技企业孵化器或加速器15万元奖励。</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六、构建多层次、多元化、多渠道的科技投融资体系</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实施科技企业金融融合行动，建立健全知识产权质押融资贷款贴息、风险补偿机制。支持银行、证券、保险、风投、担保等各类金融机构、创新投资机构、中介服务机构到新区设立科技专营机构，开展知识产权质押、股权质押等新型信贷业务。</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(二)搭建由担保公司、企业信用行业组织、商业银行、企业、中介机构及相关行政管理部门合作的企业信贷融资促进平台，培育若干有实力的科技投融资公司。</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(三)加快设立科技风险投资基金，大力发展风险投资业务。鼓励各类社会资本设立天使投资、创业投资等股权基金。加快推进新三板市场建设，支持企业进入代办股权转让系统挂牌。</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(四)支持中小型科技企业通过发行集合债券、集合票据融资，扩大科技型企业直接融资规模。探索对发行企业债券、信托计划、中期票据、短期融资</w:t>
      </w:r>
      <w:proofErr w:type="gramStart"/>
      <w:r>
        <w:rPr>
          <w:rFonts w:ascii="微软雅黑" w:eastAsia="微软雅黑" w:hAnsi="微软雅黑" w:hint="eastAsia"/>
          <w:color w:val="333333"/>
        </w:rPr>
        <w:t>券</w:t>
      </w:r>
      <w:proofErr w:type="gramEnd"/>
      <w:r>
        <w:rPr>
          <w:rFonts w:ascii="微软雅黑" w:eastAsia="微软雅黑" w:hAnsi="微软雅黑" w:hint="eastAsia"/>
          <w:color w:val="333333"/>
        </w:rPr>
        <w:t>等直接融资产品的科技型中小企业给予社会筹资利息补贴。支持民间资本创办或者参股科技创业投资机构。</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七、建立促进科技创新及成果转化的激励机制</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(一)对符合股权激励条件的科研团队和个人，给予股权认购代垫、</w:t>
      </w:r>
      <w:proofErr w:type="gramStart"/>
      <w:r>
        <w:rPr>
          <w:rFonts w:ascii="微软雅黑" w:eastAsia="微软雅黑" w:hAnsi="微软雅黑" w:hint="eastAsia"/>
          <w:color w:val="333333"/>
        </w:rPr>
        <w:t>股权代持代垫</w:t>
      </w:r>
      <w:proofErr w:type="gramEnd"/>
      <w:r>
        <w:rPr>
          <w:rFonts w:ascii="微软雅黑" w:eastAsia="微软雅黑" w:hAnsi="微软雅黑" w:hint="eastAsia"/>
          <w:color w:val="333333"/>
        </w:rPr>
        <w:t>及股权取得阶段所产生的个人所得税代垫等支持。支持有条件的企事业单位设立股权激励专项资金。</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(二)鼓励高等学校、科研院所创办的科技创业企业实施股权激励，相关科研团队和个人在成果转化过程中达到</w:t>
      </w:r>
      <w:proofErr w:type="gramStart"/>
      <w:r>
        <w:rPr>
          <w:rFonts w:ascii="微软雅黑" w:eastAsia="微软雅黑" w:hAnsi="微软雅黑" w:hint="eastAsia"/>
          <w:color w:val="333333"/>
        </w:rPr>
        <w:t>约定成效</w:t>
      </w:r>
      <w:proofErr w:type="gramEnd"/>
      <w:r>
        <w:rPr>
          <w:rFonts w:ascii="微软雅黑" w:eastAsia="微软雅黑" w:hAnsi="微软雅黑" w:hint="eastAsia"/>
          <w:color w:val="333333"/>
        </w:rPr>
        <w:t>的，根据业绩考核，兑现相应股份期权，以股权形式量化给予个人。</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(三)对主要利用财政性资金形成的职务发明成果，在成果所有权不变更的前提下，鼓励成果完成人或团队自主实施成果转化，5年内所得收益在扣除成本后的净收入中，至少70%</w:t>
      </w:r>
      <w:proofErr w:type="gramStart"/>
      <w:r>
        <w:rPr>
          <w:rFonts w:ascii="微软雅黑" w:eastAsia="微软雅黑" w:hAnsi="微软雅黑" w:hint="eastAsia"/>
          <w:color w:val="333333"/>
        </w:rPr>
        <w:t>归成果</w:t>
      </w:r>
      <w:proofErr w:type="gramEnd"/>
      <w:r>
        <w:rPr>
          <w:rFonts w:ascii="微软雅黑" w:eastAsia="微软雅黑" w:hAnsi="微软雅黑" w:hint="eastAsia"/>
          <w:color w:val="333333"/>
        </w:rPr>
        <w:t>完成人或团队自主分配，或以股权形式奖励专业技术人才。</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(四)对转让职务科技成果在扣除成本、应缴税收等费用后，所取得的净收入中，提取不低于20%的比例，或者连续3至5年从实施该科技成果新增留利中提取不低于5%的比例，用于奖励该项职务科技成果创造人。</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(五)支持企业与大学、科研院所“双向”进入，着力培育一批成果转化型企业。对产学研合作项目取得实际成效的，经认定后，对项目给予前期研发经费投入10%的补助，最高不超过100万元。</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(六)对</w:t>
      </w:r>
      <w:proofErr w:type="gramStart"/>
      <w:r>
        <w:rPr>
          <w:rFonts w:ascii="微软雅黑" w:eastAsia="微软雅黑" w:hAnsi="微软雅黑" w:hint="eastAsia"/>
          <w:color w:val="333333"/>
        </w:rPr>
        <w:t>入驻新区</w:t>
      </w:r>
      <w:proofErr w:type="gramEnd"/>
      <w:r>
        <w:rPr>
          <w:rFonts w:ascii="微软雅黑" w:eastAsia="微软雅黑" w:hAnsi="微软雅黑" w:hint="eastAsia"/>
          <w:color w:val="333333"/>
        </w:rPr>
        <w:t>开展技术交易、技术转移和成果转化的服务机构，推动科技成果在新区内成功转化的，根据当年转移转化技术和产品的实际效果，按照技术合同交易金额的5%给予一次性奖励，最高不超过100万元。</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(七)对承接高等院校、科研院所重大科技成果并在新区内成功转化的企业，根据转化的经济效益、社会效益，经认定后，对项目给予技术合同金额5%的后期补助支持，最高不超过100万元。</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(八)对新区内高新技术产业和战略性新兴产业发展中的重要核心技术攻关、重大装备研发、重大引进技术(装备)的消化吸收再创新项目;对获得国家科技财政</w:t>
      </w:r>
      <w:r>
        <w:rPr>
          <w:rFonts w:ascii="微软雅黑" w:eastAsia="微软雅黑" w:hAnsi="微软雅黑" w:hint="eastAsia"/>
          <w:color w:val="333333"/>
        </w:rPr>
        <w:lastRenderedPageBreak/>
        <w:t>拨款的重大科技项目;对具有自主知识产权，有望形成跨越式发展的战略性新兴产业和传统优势产业的重大科技创新、成果引进转化的项目，按省级给予贵安新区的支持政策执行。</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八、加快培育科技中介服务组织</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w:t>
      </w:r>
      <w:bookmarkStart w:id="0" w:name="_GoBack"/>
      <w:r>
        <w:rPr>
          <w:rFonts w:ascii="微软雅黑" w:eastAsia="微软雅黑" w:hAnsi="微软雅黑" w:hint="eastAsia"/>
          <w:color w:val="333333"/>
        </w:rPr>
        <w:t xml:space="preserve">　(</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)加快引进培育生产力促进中心、科技交流中心、科技咨询、检验检测、知识产权维权评估、专利代理等各类科技中介机构，对业绩突出的，经认定后，给予后期奖励和运营经费补贴，最高不超过100万元。</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(二)鼓励支持企业、高等院校，科研机构和个人在新区成立股份制或合伙形式的科技中介服务组织。</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(三)对新区内新认定为省级科技中介机构，省级知识产权服务辅导机构、专利代理机构的，除省级补助资金外，新区再按</w:t>
      </w:r>
      <w:proofErr w:type="gramStart"/>
      <w:r>
        <w:rPr>
          <w:rFonts w:ascii="微软雅黑" w:eastAsia="微软雅黑" w:hAnsi="微软雅黑" w:hint="eastAsia"/>
          <w:color w:val="333333"/>
        </w:rPr>
        <w:t>省级资金</w:t>
      </w:r>
      <w:proofErr w:type="gramEnd"/>
      <w:r>
        <w:rPr>
          <w:rFonts w:ascii="微软雅黑" w:eastAsia="微软雅黑" w:hAnsi="微软雅黑" w:hint="eastAsia"/>
          <w:color w:val="333333"/>
        </w:rPr>
        <w:t>的50%进行匹配。</w:t>
      </w:r>
      <w:bookmarkEnd w:id="0"/>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九、加强知识产权开发、运用和保护</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)建立健全专利申请、开发、转让、运用等激励机制，建立知识产权举报、投诉、维权、应急援助等机制。</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(二)对新认定的省级以上知识产权优势企业、知识产权示范企业的，除省级补助外，新区按省级补助资金的50%进行匹配。</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三)支持高等院校和科研机构开展国有知识产权管理制度改革试点。鼓励开展标准创新，成立企业标准联盟，加快联盟标准制定速度，与国内外标准化组织进行战略合作。支持企业建立以技术标准和专利许可为纽带的产业联盟。</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(四)对企业自主开发且具有行业共性技术，在保护知识产权的前提下，由相</w:t>
      </w:r>
      <w:r>
        <w:rPr>
          <w:rFonts w:ascii="微软雅黑" w:eastAsia="微软雅黑" w:hAnsi="微软雅黑" w:hint="eastAsia"/>
          <w:color w:val="333333"/>
        </w:rPr>
        <w:lastRenderedPageBreak/>
        <w:t>关部门进行收购，然后以平价、低价转让或无偿提供的方式供其他企业使用，加快技术产业化发展。</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十、加大科技人才引进培养和创新创业扶持</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)拓宽高层次、创新型科技人才引进渠道，实行高层次人才服务“绿卡”制度，按新区高层次人才引进政策予以扶持。</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二)支持省内外、境外高等院校与新区企业联合培养创新创业人才，推动科研院所、高等学校与企业创新人才双向交流。鼓励符合条件的企业优秀领军人才，通过职称评审绿色通道申报职称，在高等院校、科研院所兼职、授课、培养研究生。对新区内科技人员申报专业技术职务的，成果转化较好的优先评定，并推荐申报</w:t>
      </w:r>
      <w:proofErr w:type="gramStart"/>
      <w:r>
        <w:rPr>
          <w:rFonts w:ascii="微软雅黑" w:eastAsia="微软雅黑" w:hAnsi="微软雅黑" w:hint="eastAsia"/>
          <w:color w:val="333333"/>
        </w:rPr>
        <w:t>省核心</w:t>
      </w:r>
      <w:proofErr w:type="gramEnd"/>
      <w:r>
        <w:rPr>
          <w:rFonts w:ascii="微软雅黑" w:eastAsia="微软雅黑" w:hAnsi="微软雅黑" w:hint="eastAsia"/>
          <w:color w:val="333333"/>
        </w:rPr>
        <w:t>专家、省管专家等。</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(三)对带项目、带技术、带资金的高层次人才，到新区创办科技企业的，按新区引进高层次人才有关规定，给予创新创业资助。支持和鼓励留学人员和外籍人士到新区创新创业。</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四)允许和鼓励在新区的高校、科研院所等事业单位处级以下科研人员经单位批准后，到新区自主创业，其创业所得归个人所有;在完成本职工作的前提下，到新区科技企业兼职从事科技成果转化和产业化活动的，其收入归个人所有;到新区科技企业任职的，实行三年内“保薪保职”。</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五)鼓励高校毕业生创新创业，按新区有关促进高校毕业生创新创业的优惠政策给予扶持。花溪大学城全日制在校学生可申请休学创业，保留学籍，实行弹性学制，休学年限由学校根据《普通高等学校学生管理规定》(教育部令第21号)和《贵州省普通高等学校学分制管理办法》确定。</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十一、加强组织领导和统筹协调</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建立新区有关部门加快创新驱动，提升创新能力的工作协调机制。统筹经济、科技、农业等主管部门在科技研发经费的预算编制和投入工作，突出重点，集中配置有限公共科技资源，减少同一项目重复立项，多头补助。</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(二)</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规定的优惠政策与新区其他优惠政策不重复享受。新区相关部门应当制定相应的实施办法，明确申请条件，简化操作流程，确保各项政策落实。</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(三)</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出台后，若国家、省相关政策发生重大变化时，则参照国家、省相关政策执行，并适时对该措施进行修订。</w:t>
      </w:r>
    </w:p>
    <w:p w:rsidR="00B6668D" w:rsidRDefault="00B6668D" w:rsidP="00B6668D">
      <w:pPr>
        <w:pStyle w:val="a3"/>
        <w:shd w:val="clear" w:color="auto" w:fill="FFFFFF"/>
        <w:spacing w:before="150" w:beforeAutospacing="0" w:after="15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(四)</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相关政策由社管局统筹，新区有关部门按照职能分工负责解释。</w:t>
      </w:r>
    </w:p>
    <w:p w:rsidR="007562EE" w:rsidRPr="00B6668D" w:rsidRDefault="007562EE" w:rsidP="00B6668D"/>
    <w:sectPr w:rsidR="007562EE" w:rsidRPr="00B666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E5A62"/>
    <w:multiLevelType w:val="multilevel"/>
    <w:tmpl w:val="53F0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2EE"/>
    <w:rsid w:val="007562EE"/>
    <w:rsid w:val="00B6668D"/>
    <w:rsid w:val="00CE2815"/>
    <w:rsid w:val="29EA7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D5D2FA-FB9B-4AEE-9558-EFA3A6FC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B6668D"/>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uiPriority w:val="99"/>
    <w:pPr>
      <w:spacing w:beforeAutospacing="1" w:afterAutospacing="1"/>
      <w:jc w:val="left"/>
    </w:pPr>
    <w:rPr>
      <w:rFonts w:cs="Times New Roman"/>
      <w:kern w:val="0"/>
      <w:sz w:val="24"/>
    </w:rPr>
  </w:style>
  <w:style w:type="character" w:styleId="a4">
    <w:name w:val="Strong"/>
    <w:basedOn w:val="a0"/>
    <w:qFormat/>
    <w:rPr>
      <w:b/>
    </w:rPr>
  </w:style>
  <w:style w:type="character" w:customStyle="1" w:styleId="1Char">
    <w:name w:val="标题 1 Char"/>
    <w:basedOn w:val="a0"/>
    <w:link w:val="1"/>
    <w:rsid w:val="00B6668D"/>
    <w:rPr>
      <w:rFonts w:asciiTheme="minorHAnsi" w:eastAsiaTheme="minorEastAsia" w:hAnsiTheme="minorHAnsi" w:cstheme="minorBidi"/>
      <w:b/>
      <w:bCs/>
      <w:kern w:val="44"/>
      <w:sz w:val="44"/>
      <w:szCs w:val="44"/>
    </w:rPr>
  </w:style>
  <w:style w:type="character" w:styleId="a5">
    <w:name w:val="Hyperlink"/>
    <w:basedOn w:val="a0"/>
    <w:uiPriority w:val="99"/>
    <w:unhideWhenUsed/>
    <w:rsid w:val="00B6668D"/>
    <w:rPr>
      <w:color w:val="0000FF"/>
      <w:u w:val="single"/>
    </w:rPr>
  </w:style>
  <w:style w:type="character" w:customStyle="1" w:styleId="smallfont">
    <w:name w:val="smallfont"/>
    <w:basedOn w:val="a0"/>
    <w:rsid w:val="00B6668D"/>
  </w:style>
  <w:style w:type="character" w:customStyle="1" w:styleId="medfont">
    <w:name w:val="medfont"/>
    <w:basedOn w:val="a0"/>
    <w:rsid w:val="00B6668D"/>
  </w:style>
  <w:style w:type="character" w:customStyle="1" w:styleId="largefont">
    <w:name w:val="largefont"/>
    <w:basedOn w:val="a0"/>
    <w:rsid w:val="00B66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33583">
      <w:bodyDiv w:val="1"/>
      <w:marLeft w:val="0"/>
      <w:marRight w:val="0"/>
      <w:marTop w:val="0"/>
      <w:marBottom w:val="0"/>
      <w:divBdr>
        <w:top w:val="none" w:sz="0" w:space="0" w:color="auto"/>
        <w:left w:val="none" w:sz="0" w:space="0" w:color="auto"/>
        <w:bottom w:val="none" w:sz="0" w:space="0" w:color="auto"/>
        <w:right w:val="none" w:sz="0" w:space="0" w:color="auto"/>
      </w:divBdr>
      <w:divsChild>
        <w:div w:id="1425343214">
          <w:marLeft w:val="0"/>
          <w:marRight w:val="0"/>
          <w:marTop w:val="300"/>
          <w:marBottom w:val="300"/>
          <w:divBdr>
            <w:top w:val="single" w:sz="6" w:space="0" w:color="ECEBEB"/>
            <w:left w:val="single" w:sz="6" w:space="0" w:color="ECEBEB"/>
            <w:bottom w:val="single" w:sz="6" w:space="0" w:color="ECEBEB"/>
            <w:right w:val="single" w:sz="6" w:space="0" w:color="ECEBEB"/>
          </w:divBdr>
        </w:div>
        <w:div w:id="2084132969">
          <w:marLeft w:val="0"/>
          <w:marRight w:val="0"/>
          <w:marTop w:val="150"/>
          <w:marBottom w:val="150"/>
          <w:divBdr>
            <w:top w:val="single" w:sz="6" w:space="8" w:color="E8E8E8"/>
            <w:left w:val="single" w:sz="6" w:space="8" w:color="E8E8E8"/>
            <w:bottom w:val="single" w:sz="6" w:space="8" w:color="E8E8E8"/>
            <w:right w:val="single" w:sz="6" w:space="8" w:color="E8E8E8"/>
          </w:divBdr>
          <w:divsChild>
            <w:div w:id="15857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768</Words>
  <Characters>4384</Characters>
  <Application>Microsoft Office Word</Application>
  <DocSecurity>0</DocSecurity>
  <Lines>36</Lines>
  <Paragraphs>10</Paragraphs>
  <ScaleCrop>false</ScaleCrop>
  <Company>微软中国</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Wen, Yidan (Student)</cp:lastModifiedBy>
  <cp:revision>3</cp:revision>
  <dcterms:created xsi:type="dcterms:W3CDTF">2014-10-29T12:08:00Z</dcterms:created>
  <dcterms:modified xsi:type="dcterms:W3CDTF">2018-08-28T06:54:00Z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