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Arial" w:hAnsi="Arial" w:cs="Arial"/>
          <w:i w:val="0"/>
          <w:caps w:val="0"/>
          <w:color w:val="333333"/>
          <w:spacing w:val="0"/>
          <w:sz w:val="36"/>
          <w:szCs w:val="36"/>
        </w:rPr>
      </w:pPr>
      <w:r>
        <w:rPr>
          <w:rFonts w:hint="default" w:ascii="Arial" w:hAnsi="Arial" w:cs="Arial"/>
          <w:i w:val="0"/>
          <w:caps w:val="0"/>
          <w:color w:val="333333"/>
          <w:spacing w:val="0"/>
          <w:sz w:val="36"/>
          <w:szCs w:val="36"/>
          <w:bdr w:val="none" w:color="auto" w:sz="0" w:space="0"/>
          <w:shd w:val="clear" w:fill="FFFFFF"/>
        </w:rPr>
        <w:t>新野县关于招商引资政策的规定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center"/>
        <w:rPr>
          <w:rFonts w:ascii="Arial" w:hAnsi="Arial" w:cs="Arial"/>
          <w:b w:val="0"/>
          <w:i w:val="0"/>
          <w:caps w:val="0"/>
          <w:color w:val="444444"/>
          <w:spacing w:val="0"/>
          <w:sz w:val="24"/>
          <w:szCs w:val="24"/>
        </w:rPr>
      </w:pPr>
      <w:r>
        <w:rPr>
          <w:rStyle w:val="5"/>
          <w:rFonts w:hint="default" w:ascii="Arial" w:hAnsi="Arial" w:cs="Arial"/>
          <w:b/>
          <w:i w:val="0"/>
          <w:caps w:val="0"/>
          <w:color w:val="FF0000"/>
          <w:spacing w:val="0"/>
          <w:sz w:val="24"/>
          <w:szCs w:val="24"/>
          <w:bdr w:val="none" w:color="auto" w:sz="0" w:space="0"/>
          <w:shd w:val="clear" w:fill="FFFFFF"/>
        </w:rPr>
        <w:t>关于</w:t>
      </w:r>
      <w:r>
        <w:rPr>
          <w:rStyle w:val="5"/>
          <w:rFonts w:ascii="微软雅黑" w:hAnsi="微软雅黑" w:eastAsia="微软雅黑" w:cs="微软雅黑"/>
          <w:b/>
          <w:i w:val="0"/>
          <w:caps w:val="0"/>
          <w:color w:val="CC0000"/>
          <w:spacing w:val="0"/>
          <w:sz w:val="24"/>
          <w:szCs w:val="24"/>
          <w:u w:val="single"/>
          <w:bdr w:val="none" w:color="auto" w:sz="0" w:space="0"/>
          <w:shd w:val="clear" w:fill="FFFFFF"/>
        </w:rPr>
        <w:fldChar w:fldCharType="begin"/>
      </w:r>
      <w:r>
        <w:rPr>
          <w:rStyle w:val="5"/>
          <w:rFonts w:ascii="微软雅黑" w:hAnsi="微软雅黑" w:eastAsia="微软雅黑" w:cs="微软雅黑"/>
          <w:b/>
          <w:i w:val="0"/>
          <w:caps w:val="0"/>
          <w:color w:val="CC0000"/>
          <w:spacing w:val="0"/>
          <w:sz w:val="24"/>
          <w:szCs w:val="24"/>
          <w:u w:val="single"/>
          <w:bdr w:val="none" w:color="auto" w:sz="0" w:space="0"/>
          <w:shd w:val="clear" w:fill="FFFFFF"/>
        </w:rPr>
        <w:instrText xml:space="preserve"> HYPERLINK "http://www.zgsxzs.com/" \t "http://new1.zgsxzs.com/_blank" </w:instrText>
      </w:r>
      <w:r>
        <w:rPr>
          <w:rStyle w:val="5"/>
          <w:rFonts w:ascii="微软雅黑" w:hAnsi="微软雅黑" w:eastAsia="微软雅黑" w:cs="微软雅黑"/>
          <w:b/>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i w:val="0"/>
          <w:caps w:val="0"/>
          <w:color w:val="CC0000"/>
          <w:spacing w:val="0"/>
          <w:sz w:val="24"/>
          <w:szCs w:val="24"/>
          <w:u w:val="single"/>
          <w:bdr w:val="none" w:color="auto" w:sz="0" w:space="0"/>
          <w:shd w:val="clear" w:fill="FFFFFF"/>
        </w:rPr>
        <w:t>招商引资</w:t>
      </w:r>
      <w:r>
        <w:rPr>
          <w:rStyle w:val="5"/>
          <w:rFonts w:hint="eastAsia" w:ascii="微软雅黑" w:hAnsi="微软雅黑" w:eastAsia="微软雅黑" w:cs="微软雅黑"/>
          <w:b/>
          <w:i w:val="0"/>
          <w:caps w:val="0"/>
          <w:color w:val="CC0000"/>
          <w:spacing w:val="0"/>
          <w:sz w:val="24"/>
          <w:szCs w:val="24"/>
          <w:u w:val="single"/>
          <w:bdr w:val="none" w:color="auto" w:sz="0" w:space="0"/>
          <w:shd w:val="clear" w:fill="FFFFFF"/>
        </w:rPr>
        <w:fldChar w:fldCharType="end"/>
      </w:r>
      <w:r>
        <w:rPr>
          <w:rStyle w:val="5"/>
          <w:rFonts w:hint="default" w:ascii="Arial" w:hAnsi="Arial" w:cs="Arial"/>
          <w:b/>
          <w:i w:val="0"/>
          <w:caps w:val="0"/>
          <w:color w:val="FF0000"/>
          <w:spacing w:val="0"/>
          <w:sz w:val="24"/>
          <w:szCs w:val="24"/>
          <w:bdr w:val="none" w:color="auto" w:sz="0" w:space="0"/>
          <w:shd w:val="clear" w:fill="FFFFFF"/>
        </w:rPr>
        <w:t>政策的规定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center"/>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新发〔2012〕11号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center"/>
        <w:rPr>
          <w:rFonts w:hint="default" w:ascii="Arial" w:hAnsi="Arial" w:cs="Arial"/>
          <w:b w:val="0"/>
          <w:i w:val="0"/>
          <w:caps w:val="0"/>
          <w:color w:val="444444"/>
          <w:spacing w:val="0"/>
          <w:sz w:val="24"/>
          <w:szCs w:val="24"/>
        </w:rPr>
      </w:pPr>
      <w:r>
        <w:rPr>
          <w:rStyle w:val="5"/>
          <w:rFonts w:hint="default" w:ascii="Arial" w:hAnsi="Arial" w:cs="Arial"/>
          <w:b/>
          <w:i w:val="0"/>
          <w:caps w:val="0"/>
          <w:color w:val="444444"/>
          <w:spacing w:val="0"/>
          <w:sz w:val="24"/>
          <w:szCs w:val="24"/>
          <w:bdr w:val="none" w:color="auto" w:sz="0" w:space="0"/>
          <w:shd w:val="clear" w:fill="FFFFFF"/>
        </w:rPr>
        <w:t>　　中共新野县委 新野县人民政府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center"/>
        <w:rPr>
          <w:rFonts w:hint="default" w:ascii="Arial" w:hAnsi="Arial" w:cs="Arial"/>
          <w:b w:val="0"/>
          <w:i w:val="0"/>
          <w:caps w:val="0"/>
          <w:color w:val="444444"/>
          <w:spacing w:val="0"/>
          <w:sz w:val="24"/>
          <w:szCs w:val="24"/>
        </w:rPr>
      </w:pPr>
      <w:r>
        <w:rPr>
          <w:rStyle w:val="5"/>
          <w:rFonts w:hint="default" w:ascii="Arial" w:hAnsi="Arial" w:cs="Arial"/>
          <w:b/>
          <w:i w:val="0"/>
          <w:caps w:val="0"/>
          <w:color w:val="444444"/>
          <w:spacing w:val="0"/>
          <w:sz w:val="24"/>
          <w:szCs w:val="24"/>
          <w:bdr w:val="none" w:color="auto" w:sz="0" w:space="0"/>
          <w:shd w:val="clear" w:fill="FFFFFF"/>
        </w:rPr>
        <w:t>　　关于招商引资政策的规定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center"/>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(2012年7月6日)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为进一步扩大开放，加快对外合作，推进县域经济发展，遵照国家及省、市的有关政策法规，结合新野县实际，特制定本政策。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第一条适用范围：凡在新野县范围内</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"http://www.zgsxzs.com/list-1212.html"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投资</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的</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"http://www.zgsxzs.com/list-1212.html"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投资</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者，投资范围包括固定资产投资5000万元以上入驻县产业集聚区(含县肉牛产业集群示范区、县蔬菜产业集群示范区)的工业项目(含技改、扩建项目及工业标准化厂房建设项目)、第一产业、第三产业项目(</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"http://www.zgsxzs.com/industry/1076.html"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房地产</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开发项目除外)。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第二条土地优惠：入驻县产业集聚区的投资项目可采用土地出让方式依法获得土地使用权。入驻县产业集聚区的工业项目和标准化厂房建设项目，投资强度、容积率、</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"http://zgsxzs.cn/industry/1072.html"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建筑</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系数、</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"http://zgsxzs.cn/industry/1082.html"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绿化</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率、非生产性设施用地面积达到国家和省国土部门《工业项目建设用地控制标准》的，按照工业用地招拍挂程序获得土地使用权，依法取得国有土地使用证。地价按照县政府规定的产业集聚区项目土地价格标准执行，招拍挂价款超出的部分由县财政以先缴后奖的办法奖励给项目投资方，用于园区基础设施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第三条纳税奖励：县产业集聚区内项目自投产之日起，年入库税金在100万元以上的，五年内享受纳税奖励政策，即其纳税地方所得部分前三年全部等额奖励，后二年每年奖励50%。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年纳税100万元以上的三产类项目，三年内给予其入库税金地方财政所得部分50%的奖励。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标准化厂房租赁收入的纳税地方所得部分五年内全额奖励给标准化厂房的投资者。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投资额度和投资强度达到产业集聚区入驻项目的有关标准并建成达产后，项目用地依法办证时所交纳的契税、耕地占用税地方所得部分，全额奖励投资方。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第四条出口奖励：对投资自营进出口的企业，在享受国家、省、市对出口创汇的各项优惠政策外，凡企业当年出口额在50万美元以上的，县财政按照新发〔2012〕8号文件第二条第四款的规定予以奖励。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五条收费优惠：企业办理各种证照只收取工本费;建设期间，行政事业性收费由县政府核定后一次性收缴;经营过程中，除环保排污费、水资源费外，其他县属行政事业性收费全免;服务性收费，按物价部门核准的最低标准收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第六条招工</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"http://www.zgsxzs.com/industry/1078.html"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培训</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：入驻产业集聚区项目，由人力资源和社会保障部门协助企业招工，代为</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"http://www.zgsxzs.com/industry/1078.html"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培训</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首批上岗职工，享受就业优惠政策。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第七条用电优惠：产业集聚区内符合国家产业政策的大工业项目用电，执行省网直供电价。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第八条凡固定资产投资在亿元以上或技术含量高、成长性强、国外及港澳台投资商、国内外500强企业的投资项目，按“一事一议”的办法，在本政策之外给予更加优惠的政策。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第九条拓宽开放领域，加大对一产、三产项目的支持。凡国内外知名连锁餐饮、商超、四星级以上</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"http://www.zgsxzs.com/industry/1118.html"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酒店</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、总部经济等三产类投资项目，学校、专科医院、</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"http://www.zgsxzs.com/c/HangYeFenLei.php?typeid2=189"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养老</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机构等民生投资项目，种植基地、养殖基地等一产类投资项目根据固定资产投资额的大小，按照“一事一议”的原则，县内行政事业性规费给予相应减、免，建成投产(开业)给予一次性奖励。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第十条企业享受以下待遇。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企业审批实行限时办结、首问负责和一次性告知制。对入驻产业集聚区的大项目实行无偿代理服务制，由县政府指定专门部门负责办理项目前期各类审批手续。1亿元以上项目成立由一名县领导牵头的专门工作组负责代办有关手续、协调处理有关问题。5亿元以上项目成立由县主要领导牵头的专门工作组负责代办有关手续、协调处理有关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2、严格落实企业检查审批制度。凡必须进行的检查、收费等活动，须经县产业集聚区管委会办公室、县优化办同意，并报县政府主管领导批准。任何单位不得擅自到企业检查、收费。违反者要严肃追究相关人员及其单位领导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3、对做出突出贡献的投资者，可授予“优秀民营企业家”等称号;对贡献特别突出的，给予一定的政治荣誉;无偿捐资者，可给予公共设施冠名权。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570E3"/>
    <w:rsid w:val="0D057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2018-05-10T07:31:00Z</dcterms:created>
  <dc:creator>Shuiyiterry</dc:creator>
  <cp:lastModifiedBy>Shuiyiterry</cp:lastModifiedBy>
  <dcterms:modified xsi:type="dcterms:W3CDTF">2018-05-10T07:32:01Z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