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5D7" w:rsidRPr="00AF0AFB" w:rsidRDefault="006315D7" w:rsidP="00AF0AFB">
      <w:pPr>
        <w:pStyle w:val="a4"/>
        <w:shd w:val="clear" w:color="auto" w:fill="FFFFFF"/>
        <w:spacing w:line="420" w:lineRule="atLeast"/>
        <w:jc w:val="center"/>
        <w:rPr>
          <w:rFonts w:cs="Helvetica"/>
          <w:b/>
          <w:color w:val="000000"/>
          <w:sz w:val="27"/>
          <w:szCs w:val="27"/>
        </w:rPr>
      </w:pPr>
      <w:bookmarkStart w:id="0" w:name="_GoBack"/>
      <w:r w:rsidRPr="00AF0AFB">
        <w:rPr>
          <w:rFonts w:cs="Helvetica" w:hint="eastAsia"/>
          <w:b/>
          <w:color w:val="000000"/>
          <w:sz w:val="27"/>
          <w:szCs w:val="27"/>
        </w:rPr>
        <w:t>昭通市工业科技创新项目实施方案</w:t>
      </w:r>
    </w:p>
    <w:bookmarkEnd w:id="0"/>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第一章 总则</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第一条  为规范昭通市工业科技创新项目管理，建立和完善科学的昭通市工业科技创新项目管理机制，注重解决当前和未来一段时间产业升级的新技术、新材料、新产品、新工艺等应用研究和集成示范，形成一批面向高新技术产业领域、促进经济发展的科技成果，以增强自主创新能力为核心，根据有关规定，结合我市实际，制定本方案。</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第二条  本方案所称昭通市工业科技创新项目是指根据全市经济社会发展和工业发展规划需要，为实施创新驱动发展战略，以市级财政科技经费支持在昭通市内注册的法人单位承担的工业科技创新研究开发、成果转化应用等相关活动。到2020年，培育创建市级高新技术产业开发区2个、高新技术企业达30家、科技型中小企业200家、技术创新中心20个、产业技术应用研究实验室20个、院士专家工作站40个、科技企业孵化器10个，推动科技型企业集群式融通发展，实现</w:t>
      </w:r>
      <w:proofErr w:type="gramStart"/>
      <w:r>
        <w:rPr>
          <w:rFonts w:cs="Helvetica" w:hint="eastAsia"/>
          <w:color w:val="000000"/>
          <w:sz w:val="27"/>
          <w:szCs w:val="27"/>
        </w:rPr>
        <w:t>产业链提质</w:t>
      </w:r>
      <w:proofErr w:type="gramEnd"/>
      <w:r>
        <w:rPr>
          <w:rFonts w:cs="Helvetica" w:hint="eastAsia"/>
          <w:color w:val="000000"/>
          <w:sz w:val="27"/>
          <w:szCs w:val="27"/>
        </w:rPr>
        <w:t>升级。</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第三条  昭通市工业科技创新项目资金是从市级产业技术研究与开发经费中安排200万元，专项用于支持我市工业科技创新活动、提高工业科技创新能力设立的专项资金。其使用范围包括工业科技创新</w:t>
      </w:r>
      <w:r>
        <w:rPr>
          <w:rFonts w:cs="Helvetica" w:hint="eastAsia"/>
          <w:color w:val="000000"/>
          <w:sz w:val="27"/>
          <w:szCs w:val="27"/>
        </w:rPr>
        <w:lastRenderedPageBreak/>
        <w:t>研发活动和科技平台计划及其所属专项，主要包括工业科技创新前沿技术研究、重点产业共性关键技术创新、企业自主创新引导、高原农特产品深加工研发、新技术、新产品、新工艺研发。</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第四条　本方案适用于以昭通市</w:t>
      </w:r>
      <w:proofErr w:type="gramStart"/>
      <w:r>
        <w:rPr>
          <w:rFonts w:cs="Helvetica" w:hint="eastAsia"/>
          <w:color w:val="000000"/>
          <w:sz w:val="27"/>
          <w:szCs w:val="27"/>
        </w:rPr>
        <w:t>市</w:t>
      </w:r>
      <w:proofErr w:type="gramEnd"/>
      <w:r>
        <w:rPr>
          <w:rFonts w:cs="Helvetica" w:hint="eastAsia"/>
          <w:color w:val="000000"/>
          <w:sz w:val="27"/>
          <w:szCs w:val="27"/>
        </w:rPr>
        <w:t>本级财政投入为主的工业科技创新项目的立项、实施管理、项目验收等项目管理工作。</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第二章  项目立项</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第五条　项目优先支持具有较好工业科技创新科研开发基础，产学研结合，能充分发挥昭通市产业优势、人才优势、技术优势，促进产业结构调整，推动科技创新，促进科技、经济、社会协调发展的关键共性技术研究开发、应用示范及产业化项目。</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第六条　项目立项一般包括申报、审批、签约三个基本程序。</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第七条　昭通市科学技术局在启动项目申报工作前，根据昭通市经济社会发展的需求和昭通市科技发展总体部署，依据昭通工业科技创新实际，编制并公开发布年度项目指南，明确申报项目的研发领域、技术领域、集成转化领域等，确定项目申报的时间、渠道、方式。</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第八条　项目的申报单位应符合下列基本条件：</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lastRenderedPageBreak/>
        <w:t xml:space="preserve">　　（一）在昭通市内注册，运行管理规范、具有独立法人资格的企事业单位等；</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（二）在工业科技创新领域和技术领域具有一定的研发能力和技术优势；</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（三）具有为完成项目必备的人才条件、技术装备和资金保障，且研发费用占销售收入的5%以上；</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（四）具有完成项目所需的组织管理和协调能力；</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（五）具有完成项目的良好信誉度。</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第九条　项目的申报，必须严格按本方案规定的渠道、方式及通知的时间执行。申报单位应按要求认真编制项目可行性研究报告。项目申请渠道经县（区）科技行政主管部门审核推荐后上报昭通市科学技术</w:t>
      </w:r>
      <w:proofErr w:type="gramStart"/>
      <w:r>
        <w:rPr>
          <w:rFonts w:cs="Helvetica" w:hint="eastAsia"/>
          <w:color w:val="000000"/>
          <w:sz w:val="27"/>
          <w:szCs w:val="27"/>
        </w:rPr>
        <w:t>局工业</w:t>
      </w:r>
      <w:proofErr w:type="gramEnd"/>
      <w:r>
        <w:rPr>
          <w:rFonts w:cs="Helvetica" w:hint="eastAsia"/>
          <w:color w:val="000000"/>
          <w:sz w:val="27"/>
          <w:szCs w:val="27"/>
        </w:rPr>
        <w:t>与高新技术发展科。</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第十条　经昭通市科学技术</w:t>
      </w:r>
      <w:proofErr w:type="gramStart"/>
      <w:r>
        <w:rPr>
          <w:rFonts w:cs="Helvetica" w:hint="eastAsia"/>
          <w:color w:val="000000"/>
          <w:sz w:val="27"/>
          <w:szCs w:val="27"/>
        </w:rPr>
        <w:t>局工业</w:t>
      </w:r>
      <w:proofErr w:type="gramEnd"/>
      <w:r>
        <w:rPr>
          <w:rFonts w:cs="Helvetica" w:hint="eastAsia"/>
          <w:color w:val="000000"/>
          <w:sz w:val="27"/>
          <w:szCs w:val="27"/>
        </w:rPr>
        <w:t>与高新技术发展科审查，符合申报要求的项目，组织专家对项目进行评审。</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昭通市科学技术</w:t>
      </w:r>
      <w:proofErr w:type="gramStart"/>
      <w:r>
        <w:rPr>
          <w:rFonts w:cs="Helvetica" w:hint="eastAsia"/>
          <w:color w:val="000000"/>
          <w:sz w:val="27"/>
          <w:szCs w:val="27"/>
        </w:rPr>
        <w:t>局工业</w:t>
      </w:r>
      <w:proofErr w:type="gramEnd"/>
      <w:r>
        <w:rPr>
          <w:rFonts w:cs="Helvetica" w:hint="eastAsia"/>
          <w:color w:val="000000"/>
          <w:sz w:val="27"/>
          <w:szCs w:val="27"/>
        </w:rPr>
        <w:t>与高新技术发展科负责组织或委托有关机构进行项目的可行性评审工作。</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对进行可性行评审的项目，要有专家打分和专家评审意见建议，所有拟申报的项目要经昭通市科学技术局局党组会或局办公会研究审议。对申请项目要给出“可行”、“不可行”或“需作复议”的明确结论意见；对结论意见为“需作复议”的项目，申请者应对有关内容</w:t>
      </w:r>
      <w:r>
        <w:rPr>
          <w:rFonts w:cs="Helvetica" w:hint="eastAsia"/>
          <w:color w:val="000000"/>
          <w:sz w:val="27"/>
          <w:szCs w:val="27"/>
        </w:rPr>
        <w:lastRenderedPageBreak/>
        <w:t>进行必要的修改，然后将修改完善后的论证报告送昭通市科学技术</w:t>
      </w:r>
      <w:proofErr w:type="gramStart"/>
      <w:r>
        <w:rPr>
          <w:rFonts w:cs="Helvetica" w:hint="eastAsia"/>
          <w:color w:val="000000"/>
          <w:sz w:val="27"/>
          <w:szCs w:val="27"/>
        </w:rPr>
        <w:t>局工业</w:t>
      </w:r>
      <w:proofErr w:type="gramEnd"/>
      <w:r>
        <w:rPr>
          <w:rFonts w:cs="Helvetica" w:hint="eastAsia"/>
          <w:color w:val="000000"/>
          <w:sz w:val="27"/>
          <w:szCs w:val="27"/>
        </w:rPr>
        <w:t>与高新技术发展科进行复审，符合要求后，予以立项。</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第十一条 　对项目可行性评审的内容包括：立项必要性、研究基础、特色优势、知识产权状况、研究内容、技术关键、技术路线、应用方案、项目的创新性、预期目标与成果、应用前景、预期效益、经费预算、项目人员组成、推荐单位意见等。</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第十二条　对通过可行性评审列入昭通市工业科技创新的项目，经签订项目任务书后，按照财政预算支出的有关规定向项目承担单位拨付项目资助经费。</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第三章  项目实施</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第十三条  昭通市科学技术</w:t>
      </w:r>
      <w:proofErr w:type="gramStart"/>
      <w:r>
        <w:rPr>
          <w:rFonts w:cs="Helvetica" w:hint="eastAsia"/>
          <w:color w:val="000000"/>
          <w:sz w:val="27"/>
          <w:szCs w:val="27"/>
        </w:rPr>
        <w:t>局工业</w:t>
      </w:r>
      <w:proofErr w:type="gramEnd"/>
      <w:r>
        <w:rPr>
          <w:rFonts w:cs="Helvetica" w:hint="eastAsia"/>
          <w:color w:val="000000"/>
          <w:sz w:val="27"/>
          <w:szCs w:val="27"/>
        </w:rPr>
        <w:t xml:space="preserve">与高新技术发展科和由其授权或委托的项目组织实施管理机构负责项目的实施管理。 </w:t>
      </w:r>
      <w:r>
        <w:rPr>
          <w:rFonts w:cs="Helvetica" w:hint="eastAsia"/>
          <w:color w:val="000000"/>
          <w:sz w:val="27"/>
          <w:szCs w:val="27"/>
        </w:rPr>
        <w:br/>
        <w:t xml:space="preserve">　　第十四条　昭通市科学技术</w:t>
      </w:r>
      <w:proofErr w:type="gramStart"/>
      <w:r>
        <w:rPr>
          <w:rFonts w:cs="Helvetica" w:hint="eastAsia"/>
          <w:color w:val="000000"/>
          <w:sz w:val="27"/>
          <w:szCs w:val="27"/>
        </w:rPr>
        <w:t>局工业</w:t>
      </w:r>
      <w:proofErr w:type="gramEnd"/>
      <w:r>
        <w:rPr>
          <w:rFonts w:cs="Helvetica" w:hint="eastAsia"/>
          <w:color w:val="000000"/>
          <w:sz w:val="27"/>
          <w:szCs w:val="27"/>
        </w:rPr>
        <w:t xml:space="preserve">与高新技术发展科在项目管理中的基本职责是： </w:t>
      </w:r>
      <w:r>
        <w:rPr>
          <w:rFonts w:cs="Helvetica" w:hint="eastAsia"/>
          <w:color w:val="000000"/>
          <w:sz w:val="27"/>
          <w:szCs w:val="27"/>
        </w:rPr>
        <w:br/>
        <w:t xml:space="preserve">　　（一）确定项目组织实施的管理机构和管理模式； </w:t>
      </w:r>
      <w:r>
        <w:rPr>
          <w:rFonts w:cs="Helvetica" w:hint="eastAsia"/>
          <w:color w:val="000000"/>
          <w:sz w:val="27"/>
          <w:szCs w:val="27"/>
        </w:rPr>
        <w:br/>
        <w:t xml:space="preserve">　　（二）审查聘用项目评审咨询专家； </w:t>
      </w:r>
      <w:r>
        <w:rPr>
          <w:rFonts w:cs="Helvetica" w:hint="eastAsia"/>
          <w:color w:val="000000"/>
          <w:sz w:val="27"/>
          <w:szCs w:val="27"/>
        </w:rPr>
        <w:br/>
        <w:t xml:space="preserve">　　（三）审查项目年度执行报告、项目完成后的总结报告和项目经费的预、决算； </w:t>
      </w:r>
      <w:r>
        <w:rPr>
          <w:rFonts w:cs="Helvetica" w:hint="eastAsia"/>
          <w:color w:val="000000"/>
          <w:sz w:val="27"/>
          <w:szCs w:val="27"/>
        </w:rPr>
        <w:br/>
        <w:t xml:space="preserve">　　（四）组织或委托其他组织（机构）进行项目实施过程中的检查</w:t>
      </w:r>
      <w:r>
        <w:rPr>
          <w:rFonts w:cs="Helvetica" w:hint="eastAsia"/>
          <w:color w:val="000000"/>
          <w:sz w:val="27"/>
          <w:szCs w:val="27"/>
        </w:rPr>
        <w:lastRenderedPageBreak/>
        <w:t xml:space="preserve">或评估。 </w:t>
      </w:r>
      <w:r>
        <w:rPr>
          <w:rFonts w:cs="Helvetica" w:hint="eastAsia"/>
          <w:color w:val="000000"/>
          <w:sz w:val="27"/>
          <w:szCs w:val="27"/>
        </w:rPr>
        <w:br/>
        <w:t xml:space="preserve">　　第十五条  项目实施的相关县区科技管理部门基本职责是：</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（一）督促项目实施单位定期报告项目执行情况，协同市科技局进行项目执行情况的检查或评估，协调项目的实施，指导、协助项目实施中技术保密工作； </w:t>
      </w:r>
      <w:r>
        <w:rPr>
          <w:rFonts w:cs="Helvetica" w:hint="eastAsia"/>
          <w:color w:val="000000"/>
          <w:sz w:val="27"/>
          <w:szCs w:val="27"/>
        </w:rPr>
        <w:br/>
        <w:t xml:space="preserve">　　（二）实施项目的统计调查，督促完成技术合同认定登记，项目科技成果完成单位办理科技成果登记手续；</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（三）督促承担单位完善研发费用归集。 </w:t>
      </w:r>
      <w:r>
        <w:rPr>
          <w:rFonts w:cs="Helvetica" w:hint="eastAsia"/>
          <w:color w:val="000000"/>
          <w:sz w:val="27"/>
          <w:szCs w:val="27"/>
        </w:rPr>
        <w:br/>
        <w:t xml:space="preserve">　　第十六条  项目承担单位的基本职责是： </w:t>
      </w:r>
      <w:r>
        <w:rPr>
          <w:rFonts w:cs="Helvetica" w:hint="eastAsia"/>
          <w:color w:val="000000"/>
          <w:sz w:val="27"/>
          <w:szCs w:val="27"/>
        </w:rPr>
        <w:br/>
        <w:t xml:space="preserve">　　（一）严格执行项目任务书，按期完成项目目标任务； </w:t>
      </w:r>
      <w:r>
        <w:rPr>
          <w:rFonts w:cs="Helvetica" w:hint="eastAsia"/>
          <w:color w:val="000000"/>
          <w:sz w:val="27"/>
          <w:szCs w:val="27"/>
        </w:rPr>
        <w:br/>
        <w:t xml:space="preserve">　　（二）真实报告项目年度完成情况和经费年度决算； </w:t>
      </w:r>
      <w:r>
        <w:rPr>
          <w:rFonts w:cs="Helvetica" w:hint="eastAsia"/>
          <w:color w:val="000000"/>
          <w:sz w:val="27"/>
          <w:szCs w:val="27"/>
        </w:rPr>
        <w:br/>
        <w:t xml:space="preserve">　　（三）接受昭通市科学技术局和县区科技管理部门对项目执行情况的监督检查； </w:t>
      </w:r>
      <w:r>
        <w:rPr>
          <w:rFonts w:cs="Helvetica" w:hint="eastAsia"/>
          <w:color w:val="000000"/>
          <w:sz w:val="27"/>
          <w:szCs w:val="27"/>
        </w:rPr>
        <w:br/>
        <w:t xml:space="preserve">　　（四）接受并配合昭通市科学技术局委托的有关中介机构所进行的中期评估或验收评估，准确提供相关数据和资料。</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第十七条　项目实施时限原则上不超过三年，根据需要可以逐年滚动立项，超过三年的项目，应进行中期检查或中期评估。</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第十八条　项目执行中，由于不可抗力原因致使项目难以实施或在预定时间内不能完成合同任务的，应限期整改，市科技局可视情节给予警告、通报批评，直至撤销立项，追回已拨付项目经费，五年内</w:t>
      </w:r>
      <w:r>
        <w:rPr>
          <w:rFonts w:cs="Helvetica" w:hint="eastAsia"/>
          <w:color w:val="000000"/>
          <w:sz w:val="27"/>
          <w:szCs w:val="27"/>
        </w:rPr>
        <w:lastRenderedPageBreak/>
        <w:t>不得承担科技计划。违反法律的，依法移送司法机关追究其法律责任。</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第四章  项目验收</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第十九条  项目的组织验收工作由市科技局负责，县区科技管理部门协助。对符合科技成果评价条件的项目，可根据项目完成单位的要求和科技成果评价的有关规定合并进行。</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第二十条  项目执行期满后，项目承担单位应在完成项目任务书规定的执行期满后的3个月内，提出书面验收申请，并提交项目执行情况总结报告和相关附件等验收材料，报昭通市科学技术局申请验收。</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第二十一条  申请验收应提供以下基本材料：</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（一）项目验收申请书；</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（二）项目任务书；</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（三）项目执行情况总结报告；</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（四）经费决算书；</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（五）年度财务审计报告；</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lastRenderedPageBreak/>
        <w:t xml:space="preserve">　　（六）所获成果、专利及有关产品（或样机）数据、检测报告、用户使用报告等相关附件。</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第二十二条  项目验收应以项目任务书规定的内容和确定的考核指标为依据，主要内容有：</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（一）项目任务书规定的研究开发内容和技术经济指标完成情况；</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（二）项目知识产权（包括技术标准）的获得、保护和管理情况；</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（三）项目经费使用的合理性和规范性；</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（四）项目验收材料的完整性和规范性；</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（五）项目组人员履职情况和科技创新情况；</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（六）项目执行的总体质量和效益。</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第二十三条  项目验收程序：</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（一）项目承担单位在规定时间内向市科技局提出验收申请并提交有关验收材料；</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（二）昭通市科学技术局对验收项目进行初步审查，并确定验收时间，由昭通市科学技术局邀请熟悉了解相关专业技术的专家组成，专家人数一般不少于3人(其中至少1名财务专家) ，组成项目验收专家组进行项目验收；</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lastRenderedPageBreak/>
        <w:t xml:space="preserve">　　（三）验收专家组的全体成员应认真审阅项目验收全部资料，必要时应进行现场实地考察，听取并收集相关方面的意见，核实或复测相关数据，独立、负责任地提出验收意见和验收结论；</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（四）通过验收的项目，由昭通市科学技术局发给项目验收证书。</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第二十四条  验收项目存在下列情况之一者，不得通过验收：</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（一）项目任务书规定的主要任务和技术经济指标没有完成；</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（二）提供的验收文件资料、数据不真实；</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（三）擅自修改项目任务书内容。</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第二十五条  对未通过验收的项目，经整改完善有关项目任务及资料后，可再次提出验收申请。仍未通过验收的或属于本方案第二十四条中（二）、（三）项所规定的情况之一者，昭通市科学技术局可以取消承担单位和项目负责人在今后3年内申请各级科技计划项目的资格。</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第二十六条  通过验收的项目，由昭通市科学技术局负责组织对项目执行成效，特别是科技创新目标进行追踪问效。符合科技成果登记条件的，应及时进行科技成果登记或申请相关知识产权保护；符合科技成果保密要求的，应按有关规定及时进行密级确定。</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lastRenderedPageBreak/>
        <w:t xml:space="preserve">　　第二十七条  建立健全项目科技档案管理制度。昭通市科学技术局应将已验收（或终止）项目的相关文档整理归档，并及时按规定移交档案室。项目文档包括：</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（一）项目任务书；</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（二）项目验收申请书；</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（三）其他验收材料。</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第二十八条   建立项目信用管理制度。昭通市科学技术局应对科技计划项目组织过程中的有关机构、主要承担单位和责任人以及咨询、评审专家等进行信用记录和信用评价，并将其信息作为相关工作的决策依据。</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第五章  专家咨询</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第二十九条　项目管理应积极引入专家咨询机制，充分发挥专家的咨询参谋作用，提高项目管理工作的科学性、公正性及社会参与程度。 </w:t>
      </w:r>
      <w:r>
        <w:rPr>
          <w:rFonts w:cs="Helvetica" w:hint="eastAsia"/>
          <w:color w:val="000000"/>
          <w:sz w:val="27"/>
          <w:szCs w:val="27"/>
        </w:rPr>
        <w:br/>
        <w:t xml:space="preserve">　　第三十条　项目管理在可行性论证、立项审查、评估、中期检查、项目验收等环节可以组织专家咨询活动。专家咨询意见应作为科技管理与决策的参考依据。 </w:t>
      </w:r>
      <w:r>
        <w:rPr>
          <w:rFonts w:cs="Helvetica" w:hint="eastAsia"/>
          <w:color w:val="000000"/>
          <w:sz w:val="27"/>
          <w:szCs w:val="27"/>
        </w:rPr>
        <w:br/>
        <w:t xml:space="preserve">　　第三十一条　昭通市科学技术局应根据项目特点与类别确定咨询</w:t>
      </w:r>
      <w:r>
        <w:rPr>
          <w:rFonts w:cs="Helvetica" w:hint="eastAsia"/>
          <w:color w:val="000000"/>
          <w:sz w:val="27"/>
          <w:szCs w:val="27"/>
        </w:rPr>
        <w:lastRenderedPageBreak/>
        <w:t xml:space="preserve">专家条件、构成。咨询专家应具备的基本条件是： </w:t>
      </w:r>
      <w:r>
        <w:rPr>
          <w:rFonts w:cs="Helvetica" w:hint="eastAsia"/>
          <w:color w:val="000000"/>
          <w:sz w:val="27"/>
          <w:szCs w:val="27"/>
        </w:rPr>
        <w:br/>
        <w:t xml:space="preserve">　　（一）具有良好的科学道德和职业道德，能够客观、公正、实事求是地提出咨询意见； </w:t>
      </w:r>
      <w:r>
        <w:rPr>
          <w:rFonts w:cs="Helvetica" w:hint="eastAsia"/>
          <w:color w:val="000000"/>
          <w:sz w:val="27"/>
          <w:szCs w:val="27"/>
        </w:rPr>
        <w:br/>
        <w:t xml:space="preserve">　　（二）熟悉咨询项目所在领域或行业的科技经济发展状况，了解科技活动的特点与规律，在本领域或行业内具有较高的权威性；</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（三）咨询专家的群体组成应具有代表性和互补性，人数、年龄、专业和知识构成应具有相对合理性。 </w:t>
      </w:r>
      <w:r>
        <w:rPr>
          <w:rFonts w:cs="Helvetica" w:hint="eastAsia"/>
          <w:color w:val="000000"/>
          <w:sz w:val="27"/>
          <w:szCs w:val="27"/>
        </w:rPr>
        <w:br/>
        <w:t xml:space="preserve">　　第三十二条　昭通市科学技术局、项目组织实施管理机构应向咨询专家提供与咨询工作相关的资料、信息和数据，对有关咨询内容和项目背景作必要的介绍与说明，对咨询专家的具体意见负保密责任。 </w:t>
      </w:r>
      <w:r>
        <w:rPr>
          <w:rFonts w:cs="Helvetica" w:hint="eastAsia"/>
          <w:color w:val="000000"/>
          <w:sz w:val="27"/>
          <w:szCs w:val="27"/>
        </w:rPr>
        <w:br/>
        <w:t xml:space="preserve">　　第三十三条　咨询专家在为项目进行咨询的过程中，必须遵守以下规范： </w:t>
      </w:r>
      <w:r>
        <w:rPr>
          <w:rFonts w:cs="Helvetica" w:hint="eastAsia"/>
          <w:color w:val="000000"/>
          <w:sz w:val="27"/>
          <w:szCs w:val="27"/>
        </w:rPr>
        <w:br/>
        <w:t xml:space="preserve">　　（一）坚持实事求是的原则，不受任何影响公正性因素的干扰，独立、客观、公正地提供个人负责任的意见； </w:t>
      </w:r>
      <w:r>
        <w:rPr>
          <w:rFonts w:cs="Helvetica" w:hint="eastAsia"/>
          <w:color w:val="000000"/>
          <w:sz w:val="27"/>
          <w:szCs w:val="27"/>
        </w:rPr>
        <w:br/>
        <w:t xml:space="preserve">　　（二）维护咨询对象的知识产权和技术秘密，妥善保存咨询材料并在咨询活动结束后按要求将其全部退还管理者，不得复制与咨询有关的材料，不得向管理者以外的单位或个人扩散咨询有关情况； </w:t>
      </w:r>
      <w:r>
        <w:rPr>
          <w:rFonts w:cs="Helvetica" w:hint="eastAsia"/>
          <w:color w:val="000000"/>
          <w:sz w:val="27"/>
          <w:szCs w:val="27"/>
        </w:rPr>
        <w:br/>
        <w:t xml:space="preserve">　　（三）当咨询事项与专家有利益关系时，必须主动向管理者申明并回避； </w:t>
      </w:r>
      <w:r>
        <w:rPr>
          <w:rFonts w:cs="Helvetica" w:hint="eastAsia"/>
          <w:color w:val="000000"/>
          <w:sz w:val="27"/>
          <w:szCs w:val="27"/>
        </w:rPr>
        <w:br/>
        <w:t xml:space="preserve">　　（四）在咨询期间，未经组织者允许，咨询专家个人不得就咨询事项与咨询对象及相关人员进行接触，更不得以各种方式收取咨询对象的报酬和费用。</w:t>
      </w:r>
      <w:r>
        <w:rPr>
          <w:rFonts w:cs="Helvetica" w:hint="eastAsia"/>
          <w:color w:val="000000"/>
          <w:sz w:val="27"/>
          <w:szCs w:val="27"/>
        </w:rPr>
        <w:br/>
      </w:r>
      <w:r>
        <w:rPr>
          <w:rFonts w:cs="Helvetica" w:hint="eastAsia"/>
          <w:color w:val="000000"/>
          <w:sz w:val="27"/>
          <w:szCs w:val="27"/>
        </w:rPr>
        <w:lastRenderedPageBreak/>
        <w:t xml:space="preserve">　　第三十四条　昭通市科学技术局应建立咨询专家动态数据库。根据咨询任务的需要，聘任若干较为稳定的咨询专家群体参与项目管理全过程的活动，以增强咨询专家的责任和提高咨询工作质量。</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第六章   资金管理</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第三十五条  承担单位应当严格执行国家有关财经法规和财务制度，切实履行法人责任，建立健全项目资金内部管理制度和报销规定，明确内部管理权限和审批程序,完善内控机制建设，强化资金使用绩效评价，确保资金使用安全规范有效。</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第三十六条  承担单位应当将项目资金纳入单位财务统一管理，对财政资金和其他来源的资金分别单独核算，确保专款专用。按照承诺保证的资金来源及时足额到位。</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第三十七条  承担单位应当严格执行国家有关支出管理制度。对应当实行“公务卡”结算的支出，按照公务卡结算的有关规定执行。对于设备费、大宗材料费和测试化验加工费、劳务费、专家咨询费等，原则上应当通过银行转账方式结算。对野外考察等科研活动中无法取得发票或者财政性票据的，在确保真实性的前提下，可按实际发生额予以报销。</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lastRenderedPageBreak/>
        <w:t xml:space="preserve">　　第三十八条  承担单位应当严格按照资金开支范围和标准办理支出，不得利用虚假票据套取资金，不得通过编造虚假劳务合同、虚构人员名单等方式虚报冒领劳务费和专家咨询费，不得通过虚构测试化验内容、提高测试化验支出标准等方式违规开支测试化验加工费，不得随意调账变动支出、随意修改</w:t>
      </w:r>
      <w:hyperlink r:id="rId4" w:tgtFrame="http://emuch.net/html/201505/_blank" w:history="1">
        <w:r>
          <w:rPr>
            <w:rStyle w:val="a3"/>
            <w:rFonts w:cs="Helvetica" w:hint="eastAsia"/>
            <w:sz w:val="27"/>
            <w:szCs w:val="27"/>
          </w:rPr>
          <w:t>记账</w:t>
        </w:r>
      </w:hyperlink>
      <w:r>
        <w:rPr>
          <w:rFonts w:cs="Helvetica" w:hint="eastAsia"/>
          <w:color w:val="000000"/>
          <w:sz w:val="27"/>
          <w:szCs w:val="27"/>
        </w:rPr>
        <w:t>凭证,严禁以任何方式使用项目资金列支应当由个人负担的有关费用和支付各种罚款、捐款、赞助、投资等。</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第三十九条  项目实施过程中，行政事业单位使用财政资金形成的固定资产属于国有资产，应当按照国家有关国有资产管理的规定执行。企业使用财政资金形成的固定资产，按照《企业财务通则》等相关规章制度执行。</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第四十条  承担单位在资金管理和使用等环节存在违反规定安排资金或其他滥用职权、玩忽职守、徇私舞弊等违法违纪行为的，按照《预算法》、《公务员法》、《行政监察法》、《财政违法行为处罚处分条例》等有关规定追究相关单位和人员的责任，涉嫌犯罪的，移送司法机关处理。</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第七章  附则</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第四十一条  昭通市科学技术局可通过制定有关补充规定的方式，对本方案予以修订。</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第四十二条  本方案由昭通市科学技术局负责解释。</w:t>
      </w:r>
    </w:p>
    <w:p w:rsid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lastRenderedPageBreak/>
        <w:t xml:space="preserve">　　第四十三条　本方案自2017年12月1日起施行，有效期至2020年12月1日。</w:t>
      </w:r>
    </w:p>
    <w:p w:rsidR="006315D7" w:rsidRPr="006315D7" w:rsidRDefault="006315D7" w:rsidP="006315D7">
      <w:pPr>
        <w:pStyle w:val="a4"/>
        <w:shd w:val="clear" w:color="auto" w:fill="FFFFFF"/>
        <w:spacing w:line="420" w:lineRule="atLeast"/>
        <w:rPr>
          <w:rFonts w:cs="Helvetica"/>
          <w:color w:val="000000"/>
          <w:sz w:val="27"/>
          <w:szCs w:val="27"/>
        </w:rPr>
      </w:pPr>
      <w:r>
        <w:rPr>
          <w:rFonts w:cs="Helvetica" w:hint="eastAsia"/>
          <w:color w:val="000000"/>
          <w:sz w:val="27"/>
          <w:szCs w:val="27"/>
        </w:rPr>
        <w:t xml:space="preserve">　　 </w:t>
      </w:r>
    </w:p>
    <w:p w:rsidR="00517BBD" w:rsidRPr="006315D7" w:rsidRDefault="00517BBD" w:rsidP="006315D7">
      <w:pPr>
        <w:pStyle w:val="a4"/>
        <w:shd w:val="clear" w:color="auto" w:fill="FFFFFF"/>
        <w:spacing w:line="420" w:lineRule="atLeast"/>
        <w:rPr>
          <w:rFonts w:cs="Helvetica"/>
          <w:color w:val="000000"/>
          <w:sz w:val="27"/>
          <w:szCs w:val="27"/>
        </w:rPr>
      </w:pPr>
    </w:p>
    <w:sectPr w:rsidR="00517BBD" w:rsidRPr="006315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DFC"/>
    <w:rsid w:val="00160DFC"/>
    <w:rsid w:val="00517BBD"/>
    <w:rsid w:val="006315D7"/>
    <w:rsid w:val="00AF0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B38E0-4178-4A24-A178-0191FF0F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15D7"/>
    <w:rPr>
      <w:strike w:val="0"/>
      <w:dstrike w:val="0"/>
      <w:color w:val="000000"/>
      <w:u w:val="none"/>
      <w:effect w:val="none"/>
      <w:shd w:val="clear" w:color="auto" w:fill="auto"/>
    </w:rPr>
  </w:style>
  <w:style w:type="paragraph" w:styleId="a4">
    <w:name w:val="Normal (Web)"/>
    <w:basedOn w:val="a"/>
    <w:uiPriority w:val="99"/>
    <w:unhideWhenUsed/>
    <w:rsid w:val="006315D7"/>
    <w:pPr>
      <w:widowControl/>
      <w:spacing w:after="15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520534">
      <w:bodyDiv w:val="1"/>
      <w:marLeft w:val="0"/>
      <w:marRight w:val="0"/>
      <w:marTop w:val="0"/>
      <w:marBottom w:val="0"/>
      <w:divBdr>
        <w:top w:val="none" w:sz="0" w:space="0" w:color="auto"/>
        <w:left w:val="none" w:sz="0" w:space="0" w:color="auto"/>
        <w:bottom w:val="none" w:sz="0" w:space="0" w:color="auto"/>
        <w:right w:val="none" w:sz="0" w:space="0" w:color="auto"/>
      </w:divBdr>
      <w:divsChild>
        <w:div w:id="2028942702">
          <w:marLeft w:val="0"/>
          <w:marRight w:val="0"/>
          <w:marTop w:val="0"/>
          <w:marBottom w:val="0"/>
          <w:divBdr>
            <w:top w:val="none" w:sz="0" w:space="0" w:color="auto"/>
            <w:left w:val="none" w:sz="0" w:space="0" w:color="auto"/>
            <w:bottom w:val="none" w:sz="0" w:space="0" w:color="auto"/>
            <w:right w:val="none" w:sz="0" w:space="0" w:color="auto"/>
          </w:divBdr>
          <w:divsChild>
            <w:div w:id="990987255">
              <w:marLeft w:val="-225"/>
              <w:marRight w:val="-225"/>
              <w:marTop w:val="0"/>
              <w:marBottom w:val="0"/>
              <w:divBdr>
                <w:top w:val="none" w:sz="0" w:space="0" w:color="auto"/>
                <w:left w:val="none" w:sz="0" w:space="0" w:color="auto"/>
                <w:bottom w:val="none" w:sz="0" w:space="0" w:color="auto"/>
                <w:right w:val="none" w:sz="0" w:space="0" w:color="auto"/>
              </w:divBdr>
              <w:divsChild>
                <w:div w:id="506403656">
                  <w:marLeft w:val="0"/>
                  <w:marRight w:val="0"/>
                  <w:marTop w:val="0"/>
                  <w:marBottom w:val="0"/>
                  <w:divBdr>
                    <w:top w:val="none" w:sz="0" w:space="0" w:color="auto"/>
                    <w:left w:val="none" w:sz="0" w:space="0" w:color="auto"/>
                    <w:bottom w:val="none" w:sz="0" w:space="0" w:color="auto"/>
                    <w:right w:val="none" w:sz="0" w:space="0" w:color="auto"/>
                  </w:divBdr>
                  <w:divsChild>
                    <w:div w:id="984819245">
                      <w:marLeft w:val="0"/>
                      <w:marRight w:val="0"/>
                      <w:marTop w:val="0"/>
                      <w:marBottom w:val="300"/>
                      <w:divBdr>
                        <w:top w:val="none" w:sz="0" w:space="0" w:color="auto"/>
                        <w:left w:val="none" w:sz="0" w:space="0" w:color="auto"/>
                        <w:bottom w:val="none" w:sz="0" w:space="0" w:color="auto"/>
                        <w:right w:val="none" w:sz="0" w:space="0" w:color="auto"/>
                      </w:divBdr>
                      <w:divsChild>
                        <w:div w:id="484131529">
                          <w:marLeft w:val="0"/>
                          <w:marRight w:val="0"/>
                          <w:marTop w:val="0"/>
                          <w:marBottom w:val="0"/>
                          <w:divBdr>
                            <w:top w:val="none" w:sz="0" w:space="0" w:color="auto"/>
                            <w:left w:val="none" w:sz="0" w:space="0" w:color="auto"/>
                            <w:bottom w:val="none" w:sz="0" w:space="0" w:color="auto"/>
                            <w:right w:val="none" w:sz="0" w:space="0" w:color="auto"/>
                          </w:divBdr>
                          <w:divsChild>
                            <w:div w:id="14852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pro.baidu.com/cpro/ui/uijs.php?adclass=0&amp;app_id=0&amp;c=news&amp;cf=1001&amp;ch=0&amp;di=8&amp;fv=20&amp;is_app=0&amp;jk=7f73ba4fae78f5bc&amp;k=%BC%C7%D5%CB&amp;k0=%BC%C7%D5%CB&amp;kdi0=0&amp;luki=2&amp;mcpm=0&amp;n=10&amp;p=baidu&amp;q=baidusiteerror_cpr&amp;rb=0&amp;rs=1&amp;seller_id=1&amp;sid=bcf578ae4fba737f&amp;ssp2=1&amp;stid=9&amp;t=tpclicked3_hc&amp;td=1615258&amp;tu=u1615258&amp;u=http://emuch.net/html/201505/8901825.html&amp;url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884</Words>
  <Characters>5045</Characters>
  <Application>Microsoft Office Word</Application>
  <DocSecurity>0</DocSecurity>
  <Lines>42</Lines>
  <Paragraphs>11</Paragraphs>
  <ScaleCrop>false</ScaleCrop>
  <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5</cp:revision>
  <dcterms:created xsi:type="dcterms:W3CDTF">2018-05-20T13:16:00Z</dcterms:created>
  <dcterms:modified xsi:type="dcterms:W3CDTF">2018-05-20T13:19:00Z</dcterms:modified>
</cp:coreProperties>
</file>