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DB" w:rsidRPr="009D18DB" w:rsidRDefault="009D18DB" w:rsidP="009D18DB">
      <w:pPr>
        <w:widowControl/>
        <w:shd w:val="clear" w:color="auto" w:fill="FFFFFF"/>
        <w:spacing w:line="630" w:lineRule="atLeast"/>
        <w:jc w:val="center"/>
        <w:rPr>
          <w:rFonts w:ascii="宋体" w:eastAsia="宋体" w:hAnsi="宋体" w:cs="宋体"/>
          <w:b/>
          <w:bCs/>
          <w:color w:val="333333"/>
          <w:kern w:val="0"/>
          <w:sz w:val="41"/>
          <w:szCs w:val="41"/>
        </w:rPr>
      </w:pPr>
      <w:r w:rsidRPr="009D18DB">
        <w:rPr>
          <w:rFonts w:ascii="宋体" w:eastAsia="宋体" w:hAnsi="宋体" w:cs="宋体" w:hint="eastAsia"/>
          <w:b/>
          <w:bCs/>
          <w:color w:val="333333"/>
          <w:kern w:val="0"/>
          <w:sz w:val="41"/>
          <w:szCs w:val="41"/>
        </w:rPr>
        <w:t>阜政发〔2016〕46号 关于降成本减轻实体经济企业负担的实施意见</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各县、市、区人民政府，阜阳经济技术开发区、阜合现代产业园区管委会，市政府各部门、各直属机构：</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为深入贯彻习近平总书记视察安徽重要讲话精神，按照《安徽省人民政府关于降成本减轻实体经济企业负担的实施意见》（皖政〔2016〕54号）要求，现就增效益、降成本，促进经济持续健康较快发展，提出以下实施意见：</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一、降低制度性交易成本</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1．继续深化“放管服”改革，简政放权，激发活力，完善政府权力清单、责任清单和涉企收费清单，建立公共服务清单和中介服务清单，实行清单之外无收费。</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2．剥离依附行政机关的中介服务机构，清理和取消中介服务机构承担的行政职能，行政审批部门所属的事业单位、社会组织及其所办企业不得开展与本部门行政审批相关的中介服务，需要开展的应转企改制，或与主管部门脱钩。</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3．严禁行政机关指定中介服务，打破公共服务和中介服务垄断。县级以上单位公示的中介服务，参与竞争的具备法定资质资格的市场主体不得少于3家，由企业自主选择。</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二、降低企业人工成本</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4．落实国家阶段性下调社保费率政策，企业职工基本养老保险单位缴费费率降低至19%，失业保险单位缴费费率从1.5%下调至</w:t>
      </w:r>
      <w:r w:rsidRPr="009D18DB">
        <w:rPr>
          <w:rFonts w:ascii="宋体" w:eastAsia="宋体" w:hAnsi="宋体" w:cs="宋体" w:hint="eastAsia"/>
          <w:color w:val="333333"/>
          <w:kern w:val="0"/>
          <w:sz w:val="27"/>
          <w:szCs w:val="27"/>
        </w:rPr>
        <w:lastRenderedPageBreak/>
        <w:t>1%。进一步减轻符合条件的小微企业社会保险缴费负担。对用人单位安排1名持有中华人民共和国残疾人证（1至2级）或者中华人民共和国残疾军人证（1至3级）的人员就业的，按照安排2名残疾人就业计算。建立家政服务从业人员意外伤害保险财政补助制度，对家政服务机构按每人每年60元标准，为家政服务从业人员购买的意外伤害保险，注册地财政部门按每人每年不高于30元的标准给予补贴，所需资金从各地就业补助资金中列支。</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5．住房公积金缴存比例上限降低至12%，缴存基数上限降低至设区城市上一年度月平均工资的3倍。</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6．降低企业引进高科技人才成本，对企业引进科技人才年薪达50—150万元，并在我市缴纳个人所得税、工作半年以上、经推荐和公示无异议的，市、县（市、区）每年按其年薪10%的比例奖励用人单位（150万元以上部分不予奖励），专项用于企业科技研发。</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三、降低企业税费负担</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7．自2016年2月1日起，将免征教育附加、地方教育附加、水利建设基金的范围，扩大到月销售额或营业额不超过10万元的缴纳义务人。</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8．对已认定的高新技术企业减按15%的税率征收企业所得税，并对研发费用按150%加计扣除。对已经认定的市外高新技术企业转移到我市落户的，有效期内不再重新认定，并享受高新技术企业政策。</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lastRenderedPageBreak/>
        <w:t>    9．对纳税确有困难的企业，按程序报批后，可以减征或免征城镇土地使用税、房产税。对中药材加工、屠宰行业增值税一般纳税人实行农产品增值税进项税额核定扣除。</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10．全面落实固定资产加速折旧政策。按国家有关规定，对符合条件的小微企业，免征教育费附加、地方教育附加、水利建设基金、文化事业建设费和残疾人就业保障金。工业生产厂房及其配套设施免收人防工程易地建设费，厂区范围内直接为工业生产服务的其他配套设施人防工程易地建设费2016-2020年暂不征收。</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11．对上一年度未拖欠农民工工资的建筑施工民营企业，当年农民工工资保证金减按50%收取，连续两年未拖欠的减按40%收取，连续3年以上未拖欠的免缴保证金。</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四、降低企业财务成本</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12．大力推动企业股份制改造，增加资本金，降低负债率。鼓励有条件的企业发行中长期债券，降低财务费用。支持企业规范化公司制改制，对规模以上企业进行规范化公司制改制，聘请符合有关部门规定条件的中介机构产生的审计费、评估费、律师费等，由同级财政按实际发生额给予一定补助。具体补助标准和办法由市财政局另行下发。</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13．清理和规范金融机构的资金“通道”和“过桥”等环节收费，取消与贷款挂钩、没有实质性服务内容的顾问、咨询等收费项目；规范与贷款挂钩的评估、登记、审计、公证、保险等中介机构收费行为，企业自主选择中介机构，金融机构不得指定；清理取消质价</w:t>
      </w:r>
      <w:r w:rsidRPr="009D18DB">
        <w:rPr>
          <w:rFonts w:ascii="宋体" w:eastAsia="宋体" w:hAnsi="宋体" w:cs="宋体" w:hint="eastAsia"/>
          <w:color w:val="333333"/>
          <w:kern w:val="0"/>
          <w:sz w:val="27"/>
          <w:szCs w:val="27"/>
        </w:rPr>
        <w:lastRenderedPageBreak/>
        <w:t>不符和无实质性内容的收费项目。每半年组织开展银行业收费专项检查。</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14．大力推进“4321”政银担风险分担机制和“税融通”业务，将国有融资担保机构的贷款担保费率降低至不超过1.2%，属省信用担保集团暂免收市、县担保机构的中小微企业再担保费，降低和免收费用期限暂定3年。</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15．开展企业应收账款资金占用压降行动，制定实施应收账款质押、转让融资业务管理办法，鼓励建立应收账款质押融资服务平台，支持商业银行开展应收账款质押融资业务；利用全国统一信用信息共享交换平台，完善守信联合激励和失信联合惩戒制度，对守信企业提供公共服务、市场交易和投融资等便利，对失信企业依法严格约束和限制。</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五、降低企业用能用地成本</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16．从2016年1月1日起，一般工商业及其他用电类别价格每千瓦时下调4.28分；参与电力市场交易的大工业用户，直接交易电价在2015年基础上每千瓦时再降低1.87分。从2016年3月15日起，大工业与一般工商业用电价格在原有销售电价基础上，每千瓦时再降低0.143分。从2016年6月1日起，一般工商业及其他用电类别价格再降低4.272分。扩大电力用户与发电企业直接交易规模。</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17．推动大用户直供气试点，实行大用户直供气的用气价格由双方协商确定，并确保价格有所降低。</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lastRenderedPageBreak/>
        <w:t>    18．大力推广合同能源管理模式，支持工商企业与专业的节能服务公司合作，签订能源管理合同，约定节能目标和节能效益分成，在前期零收费的情况下为工业企业提供节能诊断、技术改造等服务，建设绿色工厂，开发绿色低碳产品；深入实施节能减排企业、技术、装备、项目、服务“五个一百”专项行动，鼓励企业使用高效节能产品。</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19．鼓励工业企业节约集约用地，对上一年度亩均缴纳税收5万元以上的企业，土地使用税按当地最低标准征收，市、县原定奖励等政策继续执行。奖励资金在地税部门征税后1个月内，由同级财政部门拨付到位。</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六、降低企业物流成本</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20.加大本地企业产品采购力度，鼓励制造业龙头企业通过专业分工、服务外包、订单生产等形式带动市内中小微企业进入产业链或配套体系。对龙头企业采购市内中小微企业配套产品年累计在200万元及以上的按新增采购额的0.5%给与奖励，单个企业奖励金额不超过30万元。</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21．从2016年7月1日起，船闸收费在现行收费标准的基础上下调10%，降费期限暂定3年。对享受我省ETC卡收费优惠的货运车辆，在现行通行费95折的基础上，再给予降低10个百分点的优惠，优惠期限暂定3年。支持市内高速公路服务区（含服务区内加油站）、物流园区（含物流园区加油站）使用安徽交通卡，并给予优惠。</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lastRenderedPageBreak/>
        <w:t>    22．积极推广多式联运、甩挂运输，鼓励从事车货匹配的物流信息平台类企业发展，建设物流公共信息平台，提高物流运行信息化、智能化水平；支持重大物流基地、城乡物流配送中心建设，完善全市物流综合服务网络，促进公路、铁路、水路、航空等运输方式有效衔接。保障物流企业用地需求，科学合理确定物流用地容积率，对仓储性、生产性物流企业用地按工业用地出让指导价通过招拍挂方式出让。对物流企业自有（包括自用和出租）的大宗商品仓储设施用地，2016年12月31日前按所属土地等级适用税额标准计征城镇土地使用税的50%等额奖励给企业。</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各地、各有关部门要认真执行本办法具体规定，进一步明确执行主体、执行对象、工作流程、执行时间等。市政府督查室要会同市经济和信息化委、市物价局、市财政局等部门加强跟踪督查，确保各项措施落实。</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附件：降成本减轻实体经济企业负担任务分工</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w:t>
      </w:r>
    </w:p>
    <w:p w:rsidR="009D18DB" w:rsidRPr="009D18DB" w:rsidRDefault="009D18DB" w:rsidP="009D18DB">
      <w:pPr>
        <w:widowControl/>
        <w:shd w:val="clear" w:color="auto" w:fill="FFFFFF"/>
        <w:spacing w:line="420" w:lineRule="atLeast"/>
        <w:jc w:val="righ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阜阳市人民政府</w:t>
      </w:r>
    </w:p>
    <w:p w:rsidR="009D18DB" w:rsidRPr="009D18DB" w:rsidRDefault="009D18DB" w:rsidP="009D18DB">
      <w:pPr>
        <w:widowControl/>
        <w:shd w:val="clear" w:color="auto" w:fill="FFFFFF"/>
        <w:spacing w:line="420" w:lineRule="atLeast"/>
        <w:jc w:val="righ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2016年8月24日</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Cs w:val="21"/>
        </w:rPr>
        <w:t> </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附件</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lastRenderedPageBreak/>
        <w:t> </w:t>
      </w:r>
    </w:p>
    <w:p w:rsidR="009D18DB" w:rsidRPr="009D18DB" w:rsidRDefault="009D18DB" w:rsidP="009D18DB">
      <w:pPr>
        <w:widowControl/>
        <w:shd w:val="clear" w:color="auto" w:fill="FFFFFF"/>
        <w:spacing w:line="420" w:lineRule="atLeast"/>
        <w:jc w:val="center"/>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降成本减轻实体经济企业负担任务分工</w:t>
      </w:r>
    </w:p>
    <w:p w:rsidR="009D18DB" w:rsidRPr="009D18DB" w:rsidRDefault="009D18DB" w:rsidP="009D18DB">
      <w:pPr>
        <w:widowControl/>
        <w:shd w:val="clear" w:color="auto" w:fill="FFFFFF"/>
        <w:spacing w:line="420" w:lineRule="atLeast"/>
        <w:jc w:val="left"/>
        <w:rPr>
          <w:rFonts w:ascii="宋体" w:eastAsia="宋体" w:hAnsi="宋体" w:cs="宋体" w:hint="eastAsia"/>
          <w:color w:val="333333"/>
          <w:kern w:val="0"/>
          <w:szCs w:val="21"/>
        </w:rPr>
      </w:pPr>
      <w:r w:rsidRPr="009D18DB">
        <w:rPr>
          <w:rFonts w:ascii="宋体" w:eastAsia="宋体" w:hAnsi="宋体" w:cs="宋体" w:hint="eastAsia"/>
          <w:color w:val="333333"/>
          <w:kern w:val="0"/>
          <w:sz w:val="27"/>
          <w:szCs w:val="27"/>
        </w:rPr>
        <w:t> </w:t>
      </w:r>
    </w:p>
    <w:tbl>
      <w:tblPr>
        <w:tblW w:w="0" w:type="auto"/>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firstRow="1" w:lastRow="0" w:firstColumn="1" w:lastColumn="0" w:noHBand="0" w:noVBand="1"/>
      </w:tblPr>
      <w:tblGrid>
        <w:gridCol w:w="491"/>
        <w:gridCol w:w="456"/>
        <w:gridCol w:w="5263"/>
        <w:gridCol w:w="2043"/>
        <w:gridCol w:w="37"/>
      </w:tblGrid>
      <w:tr w:rsidR="009D18DB" w:rsidRPr="009D18DB" w:rsidTr="009D18DB">
        <w:trPr>
          <w:gridAfter w:val="1"/>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hint="eastAsia"/>
                <w:kern w:val="0"/>
                <w:sz w:val="24"/>
                <w:szCs w:val="24"/>
              </w:rPr>
            </w:pPr>
            <w:r w:rsidRPr="009D18DB">
              <w:rPr>
                <w:rFonts w:ascii="宋体" w:eastAsia="宋体" w:hAnsi="宋体" w:cs="宋体" w:hint="eastAsia"/>
                <w:kern w:val="0"/>
                <w:sz w:val="27"/>
                <w:szCs w:val="27"/>
              </w:rPr>
              <w:t>分类</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序号</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主要内容</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任务分工</w:t>
            </w:r>
          </w:p>
        </w:tc>
      </w:tr>
      <w:tr w:rsidR="009D18DB" w:rsidRPr="009D18DB" w:rsidTr="009D18DB">
        <w:trPr>
          <w:gridAfter w:val="1"/>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降低制</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度性交</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易成本</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继续深化“放管服”改革，简政放权，激发活力，完善政府权力清单、责任清单和涉企收费清单，建立公共服务清单和中介服务清单，实行清单之外无收费。</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市编办、市政府法制办、市物价局（排名第一的单位为牵头单位，下同）</w:t>
            </w:r>
          </w:p>
        </w:tc>
      </w:tr>
      <w:tr w:rsidR="009D18DB" w:rsidRPr="009D18DB" w:rsidTr="009D18DB">
        <w:trPr>
          <w:gridAfter w:val="1"/>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剥离依附行政机关的中介服务机构，清理和取消中介服务机构承担的行政职能，行政审批部门所属事业单位、社会组织及其所办企业不得开展与本部门行政审批相关的中介服务，需要开展的应转企改制，或与主管部门脱钩。</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市编办、市发展改革委、市物价局、市民政局、市财政局</w:t>
            </w:r>
          </w:p>
        </w:tc>
      </w:tr>
      <w:tr w:rsidR="009D18DB" w:rsidRPr="009D18DB" w:rsidTr="009D18DB">
        <w:trPr>
          <w:gridAfter w:val="1"/>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严禁行政机关指定中介服务，打破公共服务和中介服务垄断。县级以上单位公示的中介服务，参与竞争的具备法定资质资格的市场主体不得少于3家，由企业自主选择。</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市编办、市发展改革委、市民政局、市工商局、市政府法制办、市物价局</w:t>
            </w:r>
          </w:p>
        </w:tc>
      </w:tr>
      <w:tr w:rsidR="009D18DB" w:rsidRPr="009D18DB" w:rsidTr="009D18DB">
        <w:trPr>
          <w:gridAfter w:val="1"/>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lastRenderedPageBreak/>
              <w:t>降低企</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业人工</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成本</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落实国家阶段性下调社保费率政策，企业职工基本养老保险单位缴费费率降低至19%，失业保险单位缴费费率从1.5%下调至1%。进一步减轻符合条件的小微企业社会保险缴费负担。对用人单位安排1名持有中华人民共和国残疾人证（1至2级）或者中华人民共和国残疾军人证（1至3级）的人员就业的，按照安排2名残疾人就业计算。建立家政服务从业人员意外伤害保险财政补助制度，对家政服务机构按每人每年60元标准，为家政服务从业人员购买的意外伤害保险，注册地财政部门按每人每年不高于30元的标准给予补贴，所需资金从各地就业补助资金中列支。</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市人力资源社会保障局、市财政局、市经济和信息化委、市残联</w:t>
            </w:r>
          </w:p>
        </w:tc>
      </w:tr>
      <w:tr w:rsidR="009D18DB" w:rsidRPr="009D18DB" w:rsidTr="009D18DB">
        <w:trPr>
          <w:gridAfter w:val="1"/>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住房公积金缴存比例上限降低至12%，缴存基数上限降低至设区城市上一年度月平均工资的3倍。</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市住房公积金管理中心、市财政局、人行阜阳市中心支行</w:t>
            </w:r>
          </w:p>
        </w:tc>
      </w:tr>
      <w:tr w:rsidR="009D18DB" w:rsidRPr="009D18DB" w:rsidTr="009D18DB">
        <w:trPr>
          <w:gridAfter w:val="1"/>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6</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降低企业引进高科技人才成本，对企业引进科技人才年薪达50—150万元，并在我省缴纳个人所得税、工作半年以上、经推</w:t>
            </w:r>
            <w:r w:rsidRPr="009D18DB">
              <w:rPr>
                <w:rFonts w:ascii="宋体" w:eastAsia="宋体" w:hAnsi="宋体" w:cs="宋体" w:hint="eastAsia"/>
                <w:kern w:val="0"/>
                <w:sz w:val="27"/>
                <w:szCs w:val="27"/>
              </w:rPr>
              <w:lastRenderedPageBreak/>
              <w:t>荐和公示无异议的，市、县每年可按其年薪10%的比例奖励用人单位（150万元以上部分不予奖励），专项用于企业科技研发。奖励资金省财政承担30%。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lastRenderedPageBreak/>
              <w:t>市财政局、市科技局、市人力资源社会保障局、</w:t>
            </w:r>
            <w:r w:rsidRPr="009D18DB">
              <w:rPr>
                <w:rFonts w:ascii="宋体" w:eastAsia="宋体" w:hAnsi="宋体" w:cs="宋体" w:hint="eastAsia"/>
                <w:kern w:val="0"/>
                <w:sz w:val="27"/>
                <w:szCs w:val="27"/>
              </w:rPr>
              <w:lastRenderedPageBreak/>
              <w:t>各县市区人民政府</w:t>
            </w:r>
          </w:p>
        </w:tc>
      </w:tr>
      <w:tr w:rsidR="009D18DB" w:rsidRPr="009D18DB" w:rsidTr="009D18DB">
        <w:trPr>
          <w:gridAfter w:val="1"/>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lastRenderedPageBreak/>
              <w:t>降低企</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业税费</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负担</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自2016年2月1日起，将免征教育附加、地方教育附加、水利建设基金的范围，扩大到月销售额或营业额不超过10万元的缴纳义务人。</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市财政局、市国税局、市地税局</w:t>
            </w: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8</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对已认定的高新技术企业减按15%的税率征收企业所得税，并对研发费用按150%加计扣除。对已经认定的市外高新技术企业转移到我市落户的，有效期内不再重新认定，并享受高新技术企业政策。</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市国税局、市地税局、市科技局、各县市区人民政府</w:t>
            </w: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9</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对纳税确有困难的企业，按程序报批后，可以减征或免征城镇土地使用税、房产税。对中药材加工、屠宰行业增值税一般纳税人实行农产品增值税进项税额核定扣除。</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市财政局、市国税局、市地税局、市国土资源局、市房产局</w:t>
            </w: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全面落实固定资产加速折旧政策。按国家有关规定，对符合条件的小微企业，免征教育费附加、地方教育附加、水利建设基</w:t>
            </w:r>
            <w:r w:rsidRPr="009D18DB">
              <w:rPr>
                <w:rFonts w:ascii="宋体" w:eastAsia="宋体" w:hAnsi="宋体" w:cs="宋体" w:hint="eastAsia"/>
                <w:kern w:val="0"/>
                <w:sz w:val="27"/>
                <w:szCs w:val="27"/>
              </w:rPr>
              <w:lastRenderedPageBreak/>
              <w:t>金、文化事业建设费和残疾人就业保障金。工业生产厂房及其配套设施免收人防工程易地建设费，厂区范围内直接为工业生产服务的其他配套设施人防工程易地建设费2016-2020年暂不征收。</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lastRenderedPageBreak/>
              <w:t>市经济和信息化委、市财政局、市国税局、市地</w:t>
            </w:r>
            <w:r w:rsidRPr="009D18DB">
              <w:rPr>
                <w:rFonts w:ascii="宋体" w:eastAsia="宋体" w:hAnsi="宋体" w:cs="宋体" w:hint="eastAsia"/>
                <w:kern w:val="0"/>
                <w:sz w:val="27"/>
                <w:szCs w:val="27"/>
              </w:rPr>
              <w:lastRenderedPageBreak/>
              <w:t>税局、市水务局、市人防办</w:t>
            </w: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对上一年度未拖欠农民工工资的建筑施工民营企业，当年农民工工资保证金减按50%收取，连续两年未拖欠的减按40%收取，连续3年以上未拖欠的免缴保证金。</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市人力资源社会保障局、市住房城乡建设委</w:t>
            </w:r>
          </w:p>
        </w:tc>
      </w:tr>
      <w:tr w:rsidR="009D18DB" w:rsidRPr="009D18DB" w:rsidTr="009D18DB">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降低企</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业财务</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成本</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大力推动企业股份制改造，增加资本金，降低负债率。鼓励有条件的企业发行中长期债券，降低财务费用。支持企业规范化公司制改制，对规模以上企业进行规范化公司制改制，聘请符合有关部门规定条件的中介机构产生的审计费、评估费、律师费等，由同级财政按实际发生额给予一定补助，具体补助标准和办法由市财政局另外下发。</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市政府金融办、市发展改革委、市经济和信息化委、市财政局、人行阜阳市中心支行</w:t>
            </w: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清理和规范金融机构的资金“通道”和“过桥”等环节收费，取消与贷款挂钩、没有实质性服务内容的顾问、咨询等收费</w:t>
            </w:r>
            <w:r w:rsidRPr="009D18DB">
              <w:rPr>
                <w:rFonts w:ascii="宋体" w:eastAsia="宋体" w:hAnsi="宋体" w:cs="宋体" w:hint="eastAsia"/>
                <w:kern w:val="0"/>
                <w:sz w:val="27"/>
                <w:szCs w:val="27"/>
              </w:rPr>
              <w:lastRenderedPageBreak/>
              <w:t>项目；规范与贷款挂钩的评估、登记、审计、公证、保险等中介机构收费行为，企业自主选择中介机构，金融机构不得指定；清理取消质价不符和无实质性内容的收费项目。每半年组织开展银行业收费专项检查。</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lastRenderedPageBreak/>
              <w:t>市政府金融办、市物价局、人行阜阳市中心支行</w:t>
            </w: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大力推进“4321”政银担风险分担机制和“税融通”业务，将国有融资担保机构的贷款担保费率降低至不超过1.2%，省信用担保集团暂免收市、县担保机构的中小微企业再担保费，降低和免收费用期限暂定3年。</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市政府金融办、市财政局、市经济和信息化委、市地税局、市国税局、人行阜阳市中心支行</w:t>
            </w: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开展企业应收账款资金占用压降行动，制定实施应收账款质押、转让融资业务管理办法，鼓励建立应收账款质押融资服务平台，支持商业银行开展应收账款质押融资业务；利用全国统一信用信息共享交换平台，完善守信联合激励和失信联合惩戒制度，对守信企业提供公共服务、市场交易和投融资等便利，对失信企业依法严格约束和限制。</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市政府金融办、市发展改革委、市经济和信息化委、人行阜阳市中心支行</w:t>
            </w:r>
          </w:p>
        </w:tc>
      </w:tr>
      <w:tr w:rsidR="009D18DB" w:rsidRPr="009D18DB" w:rsidTr="009D18DB">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lastRenderedPageBreak/>
              <w:t> </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16</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从2016年1月1日起，一般工商业及其他用电类别价格每千瓦时下调4.28分；参与电力市场交易的大工业用户，直接交易电价在2015年基础上每千瓦时再降低1.87分。从2016年3月15日起，大工业与一般工商业用电价格在原有销售电价基础上，每千瓦时再降低0.143分。从2016年6月1日起，一般工商业及其他用电类别价格再降低4.272分。扩大电力用户与发电企业直接交易规模。</w:t>
            </w:r>
          </w:p>
        </w:tc>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阜阳供电公司、国祯燃气公司、市物价局</w:t>
            </w:r>
          </w:p>
        </w:tc>
      </w:tr>
      <w:tr w:rsidR="009D18DB" w:rsidRPr="009D18DB" w:rsidTr="009D18DB">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降低企</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业用能</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用地成</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本</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推动大用户直供气试点，实行大用户直供气的用气价格由双方协商确定，并确保价格有所降低。</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市物价局</w:t>
            </w:r>
          </w:p>
        </w:tc>
        <w:tc>
          <w:tcPr>
            <w:tcW w:w="0" w:type="auto"/>
            <w:vAlign w:val="center"/>
            <w:hideMark/>
          </w:tcPr>
          <w:p w:rsidR="009D18DB" w:rsidRPr="009D18DB" w:rsidRDefault="009D18DB" w:rsidP="009D18DB">
            <w:pPr>
              <w:widowControl/>
              <w:jc w:val="left"/>
              <w:rPr>
                <w:rFonts w:ascii="Times New Roman" w:eastAsia="Times New Roman" w:hAnsi="Times New Roman" w:cs="Times New Roman"/>
                <w:kern w:val="0"/>
                <w:sz w:val="20"/>
                <w:szCs w:val="20"/>
              </w:rPr>
            </w:pP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18</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大力推广合同能源管理模式，支持工商企业与专业的节能服务公司合作，签订能源管理合同，约定节能目标和节能效益分成，在前期零收费的情况下为工业企业提供节能诊断、技术改造等服务，建设绿色工厂，开发绿色低碳产品。</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市经济和信息化委、市商务局、市发展改革委</w:t>
            </w:r>
          </w:p>
        </w:tc>
        <w:tc>
          <w:tcPr>
            <w:tcW w:w="0" w:type="auto"/>
            <w:vAlign w:val="center"/>
            <w:hideMark/>
          </w:tcPr>
          <w:p w:rsidR="009D18DB" w:rsidRPr="009D18DB" w:rsidRDefault="009D18DB" w:rsidP="009D18DB">
            <w:pPr>
              <w:widowControl/>
              <w:jc w:val="left"/>
              <w:rPr>
                <w:rFonts w:ascii="Times New Roman" w:eastAsia="Times New Roman" w:hAnsi="Times New Roman" w:cs="Times New Roman"/>
                <w:kern w:val="0"/>
                <w:sz w:val="20"/>
                <w:szCs w:val="20"/>
              </w:rPr>
            </w:pP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19</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深入实施省节能减排企业、技术、装备、项目、服务“五个一百”专项行动，即壮</w:t>
            </w:r>
            <w:r w:rsidRPr="009D18DB">
              <w:rPr>
                <w:rFonts w:ascii="宋体" w:eastAsia="宋体" w:hAnsi="宋体" w:cs="宋体" w:hint="eastAsia"/>
                <w:kern w:val="0"/>
                <w:sz w:val="27"/>
                <w:szCs w:val="27"/>
              </w:rPr>
              <w:lastRenderedPageBreak/>
              <w:t>大100户节能环保生产企业、推介100项节能环保先进技术、推广100种节能环保装备产品、实施100个节能环保重点项目、培育100家节能环保服务公司，鼓励企业使用高效节能产品。</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lastRenderedPageBreak/>
              <w:t>市经济和信息化委</w:t>
            </w:r>
          </w:p>
        </w:tc>
        <w:tc>
          <w:tcPr>
            <w:tcW w:w="0" w:type="auto"/>
            <w:vAlign w:val="center"/>
            <w:hideMark/>
          </w:tcPr>
          <w:p w:rsidR="009D18DB" w:rsidRPr="009D18DB" w:rsidRDefault="009D18DB" w:rsidP="009D18DB">
            <w:pPr>
              <w:widowControl/>
              <w:jc w:val="left"/>
              <w:rPr>
                <w:rFonts w:ascii="Times New Roman" w:eastAsia="Times New Roman" w:hAnsi="Times New Roman" w:cs="Times New Roman"/>
                <w:kern w:val="0"/>
                <w:sz w:val="20"/>
                <w:szCs w:val="20"/>
              </w:rPr>
            </w:pP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20</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鼓励工业企业节约集约用地，对上一年度亩均缴纳税收5万元以上的企业，土地使用税按当地最低标准征收，市、县原定奖励等政策继续执行。奖励资金在地税部门征税后1个月内，由同级财政部门拨付到位。</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市财政局、市地税局，各县市区人民政府</w:t>
            </w:r>
          </w:p>
        </w:tc>
        <w:tc>
          <w:tcPr>
            <w:tcW w:w="0" w:type="auto"/>
            <w:vAlign w:val="center"/>
            <w:hideMark/>
          </w:tcPr>
          <w:p w:rsidR="009D18DB" w:rsidRPr="009D18DB" w:rsidRDefault="009D18DB" w:rsidP="009D18DB">
            <w:pPr>
              <w:widowControl/>
              <w:jc w:val="left"/>
              <w:rPr>
                <w:rFonts w:ascii="Times New Roman" w:eastAsia="Times New Roman" w:hAnsi="Times New Roman" w:cs="Times New Roman"/>
                <w:kern w:val="0"/>
                <w:sz w:val="20"/>
                <w:szCs w:val="20"/>
              </w:rPr>
            </w:pPr>
          </w:p>
        </w:tc>
      </w:tr>
      <w:tr w:rsidR="009D18DB" w:rsidRPr="009D18DB" w:rsidTr="009D18DB">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降低企</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业物流</w:t>
            </w:r>
          </w:p>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成本</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加大本地企业产品采购力度，鼓励制造业龙头企业通过专业分工、服务外包、订单生产等形式带动市内中小微企业进入产业链或配套体系。对龙头企业采购市内中小微企业配套产品年累计在2000万元及以上的按新增采购额的0.5%给与奖励，单个企业奖励金额不超过10万元。</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市经济和信息化委、市商务局</w:t>
            </w:r>
          </w:p>
        </w:tc>
        <w:tc>
          <w:tcPr>
            <w:tcW w:w="0" w:type="auto"/>
            <w:vAlign w:val="center"/>
            <w:hideMark/>
          </w:tcPr>
          <w:p w:rsidR="009D18DB" w:rsidRPr="009D18DB" w:rsidRDefault="009D18DB" w:rsidP="009D18DB">
            <w:pPr>
              <w:widowControl/>
              <w:jc w:val="left"/>
              <w:rPr>
                <w:rFonts w:ascii="Times New Roman" w:eastAsia="Times New Roman" w:hAnsi="Times New Roman" w:cs="Times New Roman"/>
                <w:kern w:val="0"/>
                <w:sz w:val="20"/>
                <w:szCs w:val="20"/>
              </w:rPr>
            </w:pP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22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从2016年7月1日起，船闸收费在现行收费标准的基础上下调10%，降费期限暂定3年。对享受我省ETC卡收费优惠的货运车</w:t>
            </w:r>
            <w:r w:rsidRPr="009D18DB">
              <w:rPr>
                <w:rFonts w:ascii="宋体" w:eastAsia="宋体" w:hAnsi="宋体" w:cs="宋体" w:hint="eastAsia"/>
                <w:kern w:val="0"/>
                <w:sz w:val="27"/>
                <w:szCs w:val="27"/>
              </w:rPr>
              <w:lastRenderedPageBreak/>
              <w:t>辆，在现行通行费95折的基础上，再给予降低10个百分点的优惠，优惠期限暂定3年。支持使用安徽交通卡，大力宣传引导。</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lastRenderedPageBreak/>
              <w:t>市交通运输局</w:t>
            </w:r>
          </w:p>
        </w:tc>
        <w:tc>
          <w:tcPr>
            <w:tcW w:w="0" w:type="auto"/>
            <w:vAlign w:val="center"/>
            <w:hideMark/>
          </w:tcPr>
          <w:p w:rsidR="009D18DB" w:rsidRPr="009D18DB" w:rsidRDefault="009D18DB" w:rsidP="009D18DB">
            <w:pPr>
              <w:widowControl/>
              <w:jc w:val="left"/>
              <w:rPr>
                <w:rFonts w:ascii="Times New Roman" w:eastAsia="Times New Roman" w:hAnsi="Times New Roman" w:cs="Times New Roman"/>
                <w:kern w:val="0"/>
                <w:sz w:val="20"/>
                <w:szCs w:val="20"/>
              </w:rPr>
            </w:pPr>
          </w:p>
        </w:tc>
      </w:tr>
      <w:tr w:rsidR="009D18DB" w:rsidRPr="009D18DB" w:rsidTr="009D18DB">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D18DB" w:rsidRPr="009D18DB" w:rsidRDefault="009D18DB" w:rsidP="009D18DB">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23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积极推广多式联运、甩挂运输，鼓励从事车货匹配的物流信息平台类企业发展，建设物流公共信息平台，提高物流运行信息化、智能化水平；支持重大物流基地、城乡物流配送中心建设，完善全市物流综合服务网络，促进公路、铁路、水路、航空等运输方式有效衔接。保障物流企业用地需求，科学合理确定物流用地容积率，对仓储性、生产性物流企业用地按工业用地出让指导价通过招拍挂方式出让。对物流企业自有（包括自用和出租）的大宗商品仓储设施用地，2016年12月31日前减按所属土地等级适用税额计征城镇土地使用税的50%奖励给企业。</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9D18DB" w:rsidRPr="009D18DB" w:rsidRDefault="009D18DB" w:rsidP="009D18DB">
            <w:pPr>
              <w:widowControl/>
              <w:jc w:val="left"/>
              <w:rPr>
                <w:rFonts w:ascii="宋体" w:eastAsia="宋体" w:hAnsi="宋体" w:cs="宋体"/>
                <w:kern w:val="0"/>
                <w:sz w:val="24"/>
                <w:szCs w:val="24"/>
              </w:rPr>
            </w:pPr>
            <w:r w:rsidRPr="009D18DB">
              <w:rPr>
                <w:rFonts w:ascii="宋体" w:eastAsia="宋体" w:hAnsi="宋体" w:cs="宋体" w:hint="eastAsia"/>
                <w:kern w:val="0"/>
                <w:sz w:val="27"/>
                <w:szCs w:val="27"/>
              </w:rPr>
              <w:t>市发展改革委、市交通运输局、市商务局、市国土资源局、市国税局、市地税局</w:t>
            </w:r>
          </w:p>
        </w:tc>
        <w:tc>
          <w:tcPr>
            <w:tcW w:w="0" w:type="auto"/>
            <w:vAlign w:val="center"/>
            <w:hideMark/>
          </w:tcPr>
          <w:p w:rsidR="009D18DB" w:rsidRPr="009D18DB" w:rsidRDefault="009D18DB" w:rsidP="009D18DB">
            <w:pPr>
              <w:widowControl/>
              <w:jc w:val="left"/>
              <w:rPr>
                <w:rFonts w:ascii="Times New Roman" w:eastAsia="Times New Roman" w:hAnsi="Times New Roman" w:cs="Times New Roman"/>
                <w:kern w:val="0"/>
                <w:sz w:val="20"/>
                <w:szCs w:val="20"/>
              </w:rPr>
            </w:pPr>
          </w:p>
        </w:tc>
      </w:tr>
    </w:tbl>
    <w:p w:rsidR="00844102" w:rsidRDefault="00844102">
      <w:bookmarkStart w:id="0" w:name="_GoBack"/>
      <w:bookmarkEnd w:id="0"/>
    </w:p>
    <w:sectPr w:rsidR="00844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20"/>
    <w:rsid w:val="00844102"/>
    <w:rsid w:val="009D18DB"/>
    <w:rsid w:val="00A7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54049-4DB1-47DA-B599-8CE0A786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18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279955">
      <w:bodyDiv w:val="1"/>
      <w:marLeft w:val="0"/>
      <w:marRight w:val="0"/>
      <w:marTop w:val="0"/>
      <w:marBottom w:val="0"/>
      <w:divBdr>
        <w:top w:val="none" w:sz="0" w:space="0" w:color="auto"/>
        <w:left w:val="none" w:sz="0" w:space="0" w:color="auto"/>
        <w:bottom w:val="none" w:sz="0" w:space="0" w:color="auto"/>
        <w:right w:val="none" w:sz="0" w:space="0" w:color="auto"/>
      </w:divBdr>
      <w:divsChild>
        <w:div w:id="1775664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2018-05-14T05:42:00Z</dcterms:created>
  <dcterms:modified xsi:type="dcterms:W3CDTF">2018-05-14T05:42:00Z</dcterms:modified>
</cp:coreProperties>
</file>