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A1" w:rsidRPr="00D20AA1" w:rsidRDefault="00D20AA1" w:rsidP="00D20AA1">
      <w:pPr>
        <w:shd w:val="clear" w:color="auto" w:fill="FFFFFF"/>
        <w:spacing w:before="150" w:after="150" w:line="693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创艺简标宋" w:eastAsia="创艺简标宋" w:hAnsi="宋体" w:cs="宋体" w:hint="eastAsia"/>
          <w:color w:val="333333"/>
          <w:kern w:val="0"/>
          <w:sz w:val="44"/>
          <w:szCs w:val="44"/>
        </w:rPr>
        <w:t>界首市科技创新资助奖励办法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第一章 总则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第一条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为积极响应国家创新驱动战略，支持大众创业、万众创新，打造经济发展新引擎，保持和扩大界首科技工作优势，发挥科技创新支撑经济跨越发展的重要作用，根据省、阜阳市相关文件精神，结合我市实际，制定本办法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第二章 资助奖励申请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第二条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本办法适用于在界首市正式登记注册的各类企业单位、组织和界首籍公民。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第三条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资助奖励申请由市科技局负责受理。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第四条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申请资助奖励的单位及个人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凭当年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科技创新的相关批复文件及有关证明材料原件，办理资助奖励申请手续。当年不申请视为放弃，逾期不再受理。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第三章  申请审核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第五条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资助奖励申请受理后，由市科技局会同有关单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位对申请项目进行审核。审核汇总后，经市督查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考核局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审查确认报市委、市政府审批并公示后兑现。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第四章 资助奖励标准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第六条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实施高新技术企业培育、认定奖励制度。对列入全省高新技术企业培育范围的企业，给予2万元奖励，每个企业享受一次。对新认定的国家火炬计划重点高新技术企业、高新技术企业，市财政分别给予30万元、10万元奖励；通过重新认定的国家高新技术企业，给予5万元奖励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第七条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对新认定的国家级、省级创新型试点企业，市财政分别给予20万元、5万元奖励。鼓励企业主动对科研项目进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行市级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立项，每年从通过结题验收的项目中优选5—10个成果突出、研发费用入账规范、统计报表填报及时的项目，每个项目给予2万元奖励。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第八条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对企业投资研发项目所需的关键仪器设备，企业购置后，市财政给予补助支持。补助标准为上级认定投资额的15%，其中，单台仪器设备补助不超过100万元，单个企业补助不超过300万元。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第九条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对获国家、省立项的科技研发、成果转化等科技项目，给予配套资金支持。重点对企业牵头承担的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“863”计划、“973”计划、科技支撑计划等科技计划项目，按上级下拨经费的10%，由市财政予以补助。被阜阳市推荐并获省批准立项的科技重大专项，市财政先行给予补助。补助标准为研发投入的15%。单个项目补助不超过200万元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具有自主知识产权、技术含量高、首次（批）在市场推广应用并被批准为国家级重点新产品和省级重点新产品、高新技术产品的，市财政给予研发后补助支持。其中对新认定的国家重点新产品，补助研发经费30万元；对新认定的省级重点新产品、高新技术产品，分别补助研发经费3万元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第十一条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对新认定的国家级、省级重点（工程）实验室和工程（技术）研究中心，分别给予300万元、10万元奖励。对新认定的国家级、省级企业技术中心，分别给予100万元、10万元奖励。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第十二条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新认定的国家级、省级高新技术开发区和农业科技园区、可持续发展实验区、国际科技合作基地，分别给予100万元、50万元奖励；对新认定的国家级、省级高新技术产业基地和创新型园区，分别给予50万元、20万元奖励；对新认定的省级农业科技专家大院，给予10万元奖励；对新认定的国家级、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省级产业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技术创新战略联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盟，分别给予20万元、10万元奖励。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第十三条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对建成并列为省重点扶持的产业先进技术研究院，年度考核合格的，给予其当年新增仪器设备投入额20%、最高不超过100万元的补助。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第十四条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鼓励培育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发展众创空间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。对新认定的国家级、省级科技企业孵化器和创新工场、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创客空间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技术转移示范机构等新型创业服务平台，分别给予50万元、30万元奖励；对新批准建立的院士工作站、博士后科研工作站，分别给予50万元、10万元的奖励。对新认定的国家级、省级生产力促进中心等服务型中介机构，分别给予20万元、5万元奖励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第十五条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鼓励发明创造。对通过实质性审查的发明专利，没有委托代理机构申报的，每项给予申请人研发经费后补助1000元；委托代理机构申报的，给予申请人代理费用及研发经费后补助3000元。获得授权的国内发明专利，每件奖励6000元（其中2000元资助缴纳专利年费）；获得授权的实用新型专利，每件奖励1000元。对新受理的国际发明专利，每件资助前期费用1万元，获得授权后再奖励2万元；每件国际发明专利最多资助在两个国家申报。对新授权的国际实用新型专利，每件奖励1万元，享受一个国家授权奖励。对新认定的国家级、省级知识产权示范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企业、贯标企业，分别给予20万元、10万元奖励。对获得中国专利金奖、优秀奖的企业，分别奖励20万元、10万元；对获得省专利金奖、优秀奖的企业，分别奖励10万元、5万元。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对直接指导企业或个人申请发明专利的专利联络员，每件发明专利授权后奖励联络员500元；代理机构在界首连续代理三年的发明专利平均授权率达到20%的，第三年的授权发明专利每项奖励代理机构1000元。纸质申报的专利不享受前期费用资助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第十六条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鼓励支持专利产业化。市财政每年安排不低于50万元用于专利产业化研发补助，年终由企业提出申请，经评审优选5-10个专利产业化效益好的项目给予补助。产业化专利享受一个年度的研发补助。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第十七条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列入省级立项的各类自筹经费科技攻关及科技成果转化项目，每个补助5万元前期费用。对企业购买先进技术成果实际支出50万元以上的项目，成果转化后当年新增税收超过购买成果投资的，每个给予10万元一次性补助。一项成果（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含同时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实施的多项成果）享受一个年度的补助。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第十八条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对获得国家科学技术奖和安徽省科学技术奖的项目，按照上级最高奖励金额给予1:1配套奖励。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 xml:space="preserve">   第十九条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市政府设立每年不低于5000万元的科技创新引导资金。对重视科技创新并列入市政府重点支持的再生铅、再生塑料企业和新征地开办的工业企业，其科研项目给予优先立项和研发经费补助。对新办科技型企业，给予前期研发经费补助；对于成长性好、效益突出的科技项目，给予企业研发经费后补助。研发经费补助必须用于科技创新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第二十条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积极引进高层次科技创新人才团队。对院士、千人计划和海外拔尖等高层次人才牵头、携带科技成果来我市创新创业，并符合省政府扶持条件的高层次人才团队，市担保公司在团队所带科技成果质押后优先给予不低于1000万元的项目资金担保贷款支持；获得省政府资金支持后，由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市工投公司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出资偿还贷款本金，该出资直接转为参股资金支持。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享受政府扶持的科技团队创办的企业，5年内在国内主板、创业板、中小</w:t>
      </w:r>
      <w:proofErr w:type="gramStart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板成功</w:t>
      </w:r>
      <w:proofErr w:type="gramEnd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上市或累计纳税超过1000万元的，财政参股投资全部奖励给科技团队；延迟一年实现上述目标，减少20%的奖励。科技团队可以其所携带的科技成果、高新技术产品、资金及研发技能、管理经验等入股；团队在企业所占的股份一般不低于20%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第五章 奖励资助监督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第二十一条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完善考核评价机制。将研发经费（R&amp;D）支出占生产总值（GDP）比重、高企培育及认定、万人发明专利申请及授权量、成果转化、项目争取、人才团队引进等省对县市创新能力评价的主要指标，分解到园区和乡镇街道，并加强督促检查，确保目标任务完成。年终评比位居前三名的乡镇街道和园区，分别给予不低于1万元的考核奖励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第二十二条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申请资助奖励材料必须真实、准确、可靠，科技部门要严格把关。对以弄虚作假等方式套取资助奖励的，一经核实，追回全额资金，并列入诚信档案数据库，5年之内不得申报各类政府资助奖励资金。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第六章 附 则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第二十三条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本办法所述新认定、新批准、新申报、新授权等奖项，均按年度计算，自每年1月1日起统计。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第二十四条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本办法由市科技局负责解释，自发布之日起施行。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第二十五条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原《界首市人民政府关于印发界首市科技创新资助奖励办法的通知》（政秘〔2013〕12号）不再执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行。</w:t>
      </w:r>
    </w:p>
    <w:p w:rsidR="00D20AA1" w:rsidRPr="00D20AA1" w:rsidRDefault="00D20AA1" w:rsidP="00D20AA1">
      <w:pPr>
        <w:shd w:val="clear" w:color="auto" w:fill="FFFFFF"/>
        <w:spacing w:before="150" w:after="150" w:line="56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bookmarkStart w:id="0" w:name="_GoBack"/>
      <w:bookmarkEnd w:id="0"/>
      <w:r w:rsidRPr="00D20AA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D20AA1" w:rsidRPr="00D20AA1" w:rsidRDefault="00D20AA1" w:rsidP="00D20AA1">
      <w:pPr>
        <w:shd w:val="clear" w:color="auto" w:fill="FFFFFF"/>
        <w:spacing w:before="150" w:after="15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10"/>
          <w:szCs w:val="10"/>
          <w:u w:val="single"/>
        </w:rPr>
        <w:t xml:space="preserve"> </w:t>
      </w:r>
      <w:r w:rsidRPr="00D20AA1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      </w:t>
      </w:r>
    </w:p>
    <w:p w:rsidR="00D20AA1" w:rsidRPr="00D20AA1" w:rsidRDefault="00D20AA1" w:rsidP="00D20AA1">
      <w:pPr>
        <w:shd w:val="clear" w:color="auto" w:fill="FFFFFF"/>
        <w:spacing w:before="150" w:after="150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0AA1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界首市人民政府办公室                      2015年4月15日印发 </w:t>
      </w:r>
    </w:p>
    <w:p w:rsidR="000648D0" w:rsidRPr="00D20AA1" w:rsidRDefault="000648D0"/>
    <w:sectPr w:rsidR="000648D0" w:rsidRPr="00D2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创艺简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03"/>
    <w:rsid w:val="000648D0"/>
    <w:rsid w:val="00844E03"/>
    <w:rsid w:val="00D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CB7BA-4FCA-487D-9AFC-3C20E1C4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2018-05-15T02:15:00Z</dcterms:created>
  <dcterms:modified xsi:type="dcterms:W3CDTF">2018-05-15T02:16:00Z</dcterms:modified>
</cp:coreProperties>
</file>