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长寿府发〔</w:t>
      </w:r>
      <w:r w:rsidRPr="00444970">
        <w:rPr>
          <w:rFonts w:ascii="Tahoma" w:eastAsia="宋体" w:hAnsi="Tahoma" w:cs="Tahoma"/>
          <w:color w:val="333333"/>
          <w:kern w:val="0"/>
          <w:szCs w:val="21"/>
        </w:rPr>
        <w:t>2017</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60</w:t>
      </w:r>
      <w:r w:rsidRPr="00444970">
        <w:rPr>
          <w:rFonts w:ascii="Tahoma" w:eastAsia="宋体" w:hAnsi="Tahoma" w:cs="Tahoma"/>
          <w:color w:val="333333"/>
          <w:kern w:val="0"/>
          <w:szCs w:val="21"/>
        </w:rPr>
        <w:t>号</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noProof/>
          <w:color w:val="333333"/>
          <w:kern w:val="0"/>
          <w:szCs w:val="21"/>
        </w:rPr>
        <mc:AlternateContent>
          <mc:Choice Requires="wps">
            <w:drawing>
              <wp:inline distT="0" distB="0" distL="0" distR="0">
                <wp:extent cx="5641975" cy="26035"/>
                <wp:effectExtent l="0" t="0" r="0" b="0"/>
                <wp:docPr id="2" name="矩形 2" descr="C:\DOCUME~1\ADMINI~1\LOCALS~1\Temp\ksohtml\wps38B.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41975" cy="2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E5003" id="矩形 2" o:spid="_x0000_s1026" style="width:444.25pt;height: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" filled="f" stroked="f">
                <o:lock v:ext="edit" aspectratio="t"/>
                <w10:anchorlock/>
              </v:rect>
            </w:pict>
          </mc:Fallback>
        </mc:AlternateContent>
      </w:r>
      <w:r w:rsidRPr="00444970">
        <w:rPr>
          <w:rFonts w:ascii="Tahoma" w:eastAsia="宋体" w:hAnsi="Tahoma" w:cs="Tahoma"/>
          <w:color w:val="333333"/>
          <w:kern w:val="0"/>
          <w:szCs w:val="21"/>
        </w:rPr>
        <w:t> </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重庆市长寿区人民政府</w:t>
      </w:r>
    </w:p>
    <w:p w:rsidR="00444970" w:rsidRPr="00444970" w:rsidRDefault="00444970" w:rsidP="00FE0785">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关于印发《重庆市长寿区创新驱动发展战略专项扶持办法（试行）》的通知</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color w:val="333333"/>
          <w:kern w:val="0"/>
          <w:szCs w:val="21"/>
        </w:rPr>
        <w:t>各街道办事处、镇人民政府，区级各部门，有关单位：</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color w:val="333333"/>
          <w:kern w:val="0"/>
          <w:szCs w:val="21"/>
        </w:rPr>
        <w:t>   </w:t>
      </w:r>
      <w:r w:rsidRPr="00444970">
        <w:rPr>
          <w:rFonts w:ascii="Tahoma" w:eastAsia="宋体" w:hAnsi="Tahoma" w:cs="Tahoma"/>
          <w:color w:val="333333"/>
          <w:kern w:val="0"/>
          <w:szCs w:val="21"/>
        </w:rPr>
        <w:t>《重庆市长寿区创新驱动发展战略专项扶持办法（试行）》已经区政府同意，现印发给你们，请认真贯彻执行。</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color w:val="333333"/>
          <w:kern w:val="0"/>
          <w:szCs w:val="21"/>
        </w:rPr>
        <w:t> </w:t>
      </w:r>
      <w:r w:rsidRPr="00444970">
        <w:rPr>
          <w:rFonts w:ascii="Tahoma" w:eastAsia="宋体" w:hAnsi="Tahoma" w:cs="Tahoma"/>
          <w:color w:val="333333"/>
          <w:kern w:val="0"/>
          <w:szCs w:val="21"/>
        </w:rPr>
        <w:t>重庆市长寿区人民政府</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color w:val="333333"/>
          <w:kern w:val="0"/>
          <w:szCs w:val="21"/>
        </w:rPr>
        <w:t>2017</w:t>
      </w:r>
      <w:r w:rsidRPr="00444970">
        <w:rPr>
          <w:rFonts w:ascii="Tahoma" w:eastAsia="宋体" w:hAnsi="Tahoma" w:cs="Tahoma"/>
          <w:color w:val="333333"/>
          <w:kern w:val="0"/>
          <w:szCs w:val="21"/>
        </w:rPr>
        <w:t>年</w:t>
      </w:r>
      <w:r w:rsidRPr="00444970">
        <w:rPr>
          <w:rFonts w:ascii="Tahoma" w:eastAsia="宋体" w:hAnsi="Tahoma" w:cs="Tahoma"/>
          <w:color w:val="333333"/>
          <w:kern w:val="0"/>
          <w:szCs w:val="21"/>
        </w:rPr>
        <w:t>7</w:t>
      </w:r>
      <w:r w:rsidRPr="00444970">
        <w:rPr>
          <w:rFonts w:ascii="Tahoma" w:eastAsia="宋体" w:hAnsi="Tahoma" w:cs="Tahoma"/>
          <w:color w:val="333333"/>
          <w:kern w:val="0"/>
          <w:szCs w:val="21"/>
        </w:rPr>
        <w:t>月</w:t>
      </w:r>
      <w:r w:rsidRPr="00444970">
        <w:rPr>
          <w:rFonts w:ascii="Tahoma" w:eastAsia="宋体" w:hAnsi="Tahoma" w:cs="Tahoma"/>
          <w:color w:val="333333"/>
          <w:kern w:val="0"/>
          <w:szCs w:val="21"/>
        </w:rPr>
        <w:t>24</w:t>
      </w:r>
      <w:r w:rsidRPr="00444970">
        <w:rPr>
          <w:rFonts w:ascii="Tahoma" w:eastAsia="宋体" w:hAnsi="Tahoma" w:cs="Tahoma"/>
          <w:color w:val="333333"/>
          <w:kern w:val="0"/>
          <w:szCs w:val="21"/>
        </w:rPr>
        <w:t>日</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b/>
          <w:bCs/>
          <w:color w:val="333333"/>
          <w:kern w:val="0"/>
          <w:szCs w:val="21"/>
        </w:rPr>
        <w:t>重庆市长寿区创新驱动发展战略</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b/>
          <w:bCs/>
          <w:color w:val="333333"/>
          <w:kern w:val="0"/>
          <w:szCs w:val="21"/>
        </w:rPr>
        <w:t>专项扶持办法（试行）</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第一章</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总</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则</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第一条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为贯彻落实创新驱动发展战略，加快转变经济发展方式，提升我区自主创新能力，根据《重庆市深化体制机制改革加快实施创新驱动发展战略行动计划（</w:t>
      </w:r>
      <w:r w:rsidRPr="00444970">
        <w:rPr>
          <w:rFonts w:ascii="Tahoma" w:eastAsia="宋体" w:hAnsi="Tahoma" w:cs="Tahoma"/>
          <w:color w:val="333333"/>
          <w:kern w:val="0"/>
          <w:szCs w:val="21"/>
        </w:rPr>
        <w:t>2015—2020</w:t>
      </w:r>
      <w:r w:rsidRPr="00444970">
        <w:rPr>
          <w:rFonts w:ascii="Tahoma" w:eastAsia="宋体" w:hAnsi="Tahoma" w:cs="Tahoma"/>
          <w:color w:val="333333"/>
          <w:kern w:val="0"/>
          <w:szCs w:val="21"/>
        </w:rPr>
        <w:t>年）》（渝委发〔</w:t>
      </w:r>
      <w:r w:rsidRPr="00444970">
        <w:rPr>
          <w:rFonts w:ascii="Tahoma" w:eastAsia="宋体" w:hAnsi="Tahoma" w:cs="Tahoma"/>
          <w:color w:val="333333"/>
          <w:kern w:val="0"/>
          <w:szCs w:val="21"/>
        </w:rPr>
        <w:t>2015</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13</w:t>
      </w:r>
      <w:r w:rsidRPr="00444970">
        <w:rPr>
          <w:rFonts w:ascii="Tahoma" w:eastAsia="宋体" w:hAnsi="Tahoma" w:cs="Tahoma"/>
          <w:color w:val="333333"/>
          <w:kern w:val="0"/>
          <w:szCs w:val="21"/>
        </w:rPr>
        <w:t>号）、《关于加快推进创新驱动发展战略的实施意见》（长寿委发〔</w:t>
      </w:r>
      <w:r w:rsidRPr="00444970">
        <w:rPr>
          <w:rFonts w:ascii="Tahoma" w:eastAsia="宋体" w:hAnsi="Tahoma" w:cs="Tahoma"/>
          <w:color w:val="333333"/>
          <w:kern w:val="0"/>
          <w:szCs w:val="21"/>
        </w:rPr>
        <w:t>2015</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12</w:t>
      </w:r>
      <w:r w:rsidRPr="00444970">
        <w:rPr>
          <w:rFonts w:ascii="Tahoma" w:eastAsia="宋体" w:hAnsi="Tahoma" w:cs="Tahoma"/>
          <w:color w:val="333333"/>
          <w:kern w:val="0"/>
          <w:szCs w:val="21"/>
        </w:rPr>
        <w:t>号）及《关于深化改革扩大开放加快实施创新驱动发展战略的意见》（长寿委发〔</w:t>
      </w:r>
      <w:r w:rsidRPr="00444970">
        <w:rPr>
          <w:rFonts w:ascii="Tahoma" w:eastAsia="宋体" w:hAnsi="Tahoma" w:cs="Tahoma"/>
          <w:color w:val="333333"/>
          <w:kern w:val="0"/>
          <w:szCs w:val="21"/>
        </w:rPr>
        <w:t>2016</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28</w:t>
      </w:r>
      <w:r w:rsidRPr="00444970">
        <w:rPr>
          <w:rFonts w:ascii="Tahoma" w:eastAsia="宋体" w:hAnsi="Tahoma" w:cs="Tahoma"/>
          <w:color w:val="333333"/>
          <w:kern w:val="0"/>
          <w:szCs w:val="21"/>
        </w:rPr>
        <w:t>号）《关于开展创新生态区建设的通知》（长寿府发〔</w:t>
      </w:r>
      <w:r w:rsidRPr="00444970">
        <w:rPr>
          <w:rFonts w:ascii="Tahoma" w:eastAsia="宋体" w:hAnsi="Tahoma" w:cs="Tahoma"/>
          <w:color w:val="333333"/>
          <w:kern w:val="0"/>
          <w:szCs w:val="21"/>
        </w:rPr>
        <w:t>2017</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59</w:t>
      </w:r>
      <w:r w:rsidRPr="00444970">
        <w:rPr>
          <w:rFonts w:ascii="Tahoma" w:eastAsia="宋体" w:hAnsi="Tahoma" w:cs="Tahoma"/>
          <w:color w:val="333333"/>
          <w:kern w:val="0"/>
          <w:szCs w:val="21"/>
        </w:rPr>
        <w:t>号）等文件精神，结合我区实际，制定本办法。</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第二条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本办法适用于在长寿区内工商注册、经营、纳税的具有独立主体资格的企业事业单位、社团组织，以及工作或居住在本区的公民。</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第三条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设立区级创新驱动发展战略专项资金，列入年度财政预算，实行滚存使用，采取</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后补助、间接补、多维评价决策补</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的方式使用管理，坚持市场导向、激励引导、公正公开、规范高效的原则，充分发挥专项资金的扶持、引导和示范作用。</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color w:val="333333"/>
          <w:kern w:val="0"/>
          <w:szCs w:val="21"/>
        </w:rPr>
        <w:t>长寿经开区内的单位和个人所得补贴由区级创新驱动发展战略专项资金和长寿经开区经费各支付</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，长寿经开区以外的单位和个人所得科技创新奖励、资助和补贴由区级创新驱动发展战略专项资金支付。</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 </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第二章</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鼓励企业自主创新</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第四条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对新设立或新认定的在国内同行业中具有领先地位的企业研发创新中心一次性给予</w:t>
      </w:r>
      <w:r w:rsidRPr="00444970">
        <w:rPr>
          <w:rFonts w:ascii="Tahoma" w:eastAsia="宋体" w:hAnsi="Tahoma" w:cs="Tahoma"/>
          <w:color w:val="333333"/>
          <w:kern w:val="0"/>
          <w:szCs w:val="21"/>
        </w:rPr>
        <w:t>1000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第五条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对新设立或新认定的国家级企业技术中心、工程研究中心（工程实验室）、工程技术研究中心（重点实验室）一次性给予</w:t>
      </w:r>
      <w:r w:rsidRPr="00444970">
        <w:rPr>
          <w:rFonts w:ascii="Tahoma" w:eastAsia="宋体" w:hAnsi="Tahoma" w:cs="Tahoma"/>
          <w:color w:val="333333"/>
          <w:kern w:val="0"/>
          <w:szCs w:val="21"/>
        </w:rPr>
        <w:t>500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第六条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对新设立或新认定的市级企业技术中心、工程研究中心（工程实验室）、工程技术研究中心（重点实验室）、产业技术研究院及产业技术协同创新中心分别一次性给予</w:t>
      </w:r>
      <w:r w:rsidRPr="00444970">
        <w:rPr>
          <w:rFonts w:ascii="Tahoma" w:eastAsia="宋体" w:hAnsi="Tahoma" w:cs="Tahoma"/>
          <w:color w:val="333333"/>
          <w:kern w:val="0"/>
          <w:szCs w:val="21"/>
        </w:rPr>
        <w:t>80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80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第七条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对新认定的区级企业研发创新中心，一次性给予</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第八条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对首次认定的国家火炬计划重点高新技术企业、高新技术企业分别一次性给予</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万元补助，对复评获批的高新技术企业，给予一次性</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万元补助；对首认定的科技型企业，给予一次性</w:t>
      </w:r>
      <w:r w:rsidRPr="00444970">
        <w:rPr>
          <w:rFonts w:ascii="Tahoma" w:eastAsia="宋体" w:hAnsi="Tahoma" w:cs="Tahoma"/>
          <w:color w:val="333333"/>
          <w:kern w:val="0"/>
          <w:szCs w:val="21"/>
        </w:rPr>
        <w:t>2</w:t>
      </w:r>
      <w:r w:rsidRPr="00444970">
        <w:rPr>
          <w:rFonts w:ascii="Tahoma" w:eastAsia="宋体" w:hAnsi="Tahoma" w:cs="Tahoma"/>
          <w:color w:val="333333"/>
          <w:kern w:val="0"/>
          <w:szCs w:val="21"/>
        </w:rPr>
        <w:t>万元现金及</w:t>
      </w:r>
      <w:r w:rsidRPr="00444970">
        <w:rPr>
          <w:rFonts w:ascii="Tahoma" w:eastAsia="宋体" w:hAnsi="Tahoma" w:cs="Tahoma"/>
          <w:color w:val="333333"/>
          <w:kern w:val="0"/>
          <w:szCs w:val="21"/>
        </w:rPr>
        <w:t>1</w:t>
      </w:r>
      <w:r w:rsidRPr="00444970">
        <w:rPr>
          <w:rFonts w:ascii="Tahoma" w:eastAsia="宋体" w:hAnsi="Tahoma" w:cs="Tahoma"/>
          <w:color w:val="333333"/>
          <w:kern w:val="0"/>
          <w:szCs w:val="21"/>
        </w:rPr>
        <w:t>万元创新券补助，并对每年第一季度在管理系统更新统计信息，并经复核通过的科技型企业，每年给予</w:t>
      </w:r>
      <w:r w:rsidRPr="00444970">
        <w:rPr>
          <w:rFonts w:ascii="Tahoma" w:eastAsia="宋体" w:hAnsi="Tahoma" w:cs="Tahoma"/>
          <w:color w:val="333333"/>
          <w:kern w:val="0"/>
          <w:szCs w:val="21"/>
        </w:rPr>
        <w:t>1</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第九条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对新认定为牛羚企业、瞪羚企业、独角兽企业分别给予一次性</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40</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万元补助；对新认定的国家级、市级创新型（试点）企业或创新示范企业分别一次性给予</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5</w:t>
      </w:r>
      <w:r w:rsidRPr="00444970">
        <w:rPr>
          <w:rFonts w:ascii="Tahoma" w:eastAsia="宋体" w:hAnsi="Tahoma" w:cs="Tahoma"/>
          <w:color w:val="333333"/>
          <w:kern w:val="0"/>
          <w:szCs w:val="21"/>
        </w:rPr>
        <w:t>万元补助；对新认定的国家级知识产权示范企业、国家级知识产权优势企业、市</w:t>
      </w:r>
      <w:r w:rsidRPr="00444970">
        <w:rPr>
          <w:rFonts w:ascii="Tahoma" w:eastAsia="宋体" w:hAnsi="Tahoma" w:cs="Tahoma"/>
          <w:color w:val="333333"/>
          <w:kern w:val="0"/>
          <w:szCs w:val="21"/>
        </w:rPr>
        <w:lastRenderedPageBreak/>
        <w:t>级知识产权优势企业、市级知识产权试点企业的分别一次性给予</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5</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2</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1</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第十条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对获得中国专利金奖、中国专利优秀奖、中国外观设计金奖和中国外观设计优秀奖的分别一次性给予</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万元和</w:t>
      </w:r>
      <w:r w:rsidRPr="00444970">
        <w:rPr>
          <w:rFonts w:ascii="Tahoma" w:eastAsia="宋体" w:hAnsi="Tahoma" w:cs="Tahoma"/>
          <w:color w:val="333333"/>
          <w:kern w:val="0"/>
          <w:szCs w:val="21"/>
        </w:rPr>
        <w:t>5</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第十一条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鼓励企业申请</w:t>
      </w:r>
      <w:r w:rsidRPr="00444970">
        <w:rPr>
          <w:rFonts w:ascii="Tahoma" w:eastAsia="宋体" w:hAnsi="Tahoma" w:cs="Tahoma"/>
          <w:color w:val="333333"/>
          <w:kern w:val="0"/>
          <w:szCs w:val="21"/>
        </w:rPr>
        <w:t>PCT</w:t>
      </w:r>
      <w:r w:rsidRPr="00444970">
        <w:rPr>
          <w:rFonts w:ascii="Tahoma" w:eastAsia="宋体" w:hAnsi="Tahoma" w:cs="Tahoma"/>
          <w:color w:val="333333"/>
          <w:kern w:val="0"/>
          <w:szCs w:val="21"/>
        </w:rPr>
        <w:t>专利，对获得欧美日发明专利授权的，补助</w:t>
      </w:r>
      <w:r w:rsidRPr="00444970">
        <w:rPr>
          <w:rFonts w:ascii="Tahoma" w:eastAsia="宋体" w:hAnsi="Tahoma" w:cs="Tahoma"/>
          <w:color w:val="333333"/>
          <w:kern w:val="0"/>
          <w:szCs w:val="21"/>
        </w:rPr>
        <w:t>5</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件，获得其他国家或地区发明专利授权的，补助</w:t>
      </w:r>
      <w:r w:rsidRPr="00444970">
        <w:rPr>
          <w:rFonts w:ascii="Tahoma" w:eastAsia="宋体" w:hAnsi="Tahoma" w:cs="Tahoma"/>
          <w:color w:val="333333"/>
          <w:kern w:val="0"/>
          <w:szCs w:val="21"/>
        </w:rPr>
        <w:t>1.5</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件；对已授权的发明专利，按照当年实际缴纳年费的</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进行资助（不含滞纳金），对获得国内发明专利授权的给予每件</w:t>
      </w:r>
      <w:r w:rsidRPr="00444970">
        <w:rPr>
          <w:rFonts w:ascii="Tahoma" w:eastAsia="宋体" w:hAnsi="Tahoma" w:cs="Tahoma"/>
          <w:color w:val="333333"/>
          <w:kern w:val="0"/>
          <w:szCs w:val="21"/>
        </w:rPr>
        <w:t>3</w:t>
      </w:r>
      <w:r w:rsidRPr="00444970">
        <w:rPr>
          <w:rFonts w:ascii="Tahoma" w:eastAsia="宋体" w:hAnsi="Tahoma" w:cs="Tahoma"/>
          <w:color w:val="333333"/>
          <w:kern w:val="0"/>
          <w:szCs w:val="21"/>
        </w:rPr>
        <w:t>万元的补助。同一件专利最多补助</w:t>
      </w:r>
      <w:r w:rsidRPr="00444970">
        <w:rPr>
          <w:rFonts w:ascii="Tahoma" w:eastAsia="宋体" w:hAnsi="Tahoma" w:cs="Tahoma"/>
          <w:color w:val="333333"/>
          <w:kern w:val="0"/>
          <w:szCs w:val="21"/>
        </w:rPr>
        <w:t>3</w:t>
      </w:r>
      <w:r w:rsidRPr="00444970">
        <w:rPr>
          <w:rFonts w:ascii="Tahoma" w:eastAsia="宋体" w:hAnsi="Tahoma" w:cs="Tahoma"/>
          <w:color w:val="333333"/>
          <w:kern w:val="0"/>
          <w:szCs w:val="21"/>
        </w:rPr>
        <w:t>个国家或地区。以上补助的</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给发明人。</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第十二条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对完成企业知识产权贯标认证的一次性给予</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万元补助；对牵头制定并获批国际、国家或行业、地方标准的企业（第一起草单位），分别一次性给予</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40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万元补助；对参与制定并获批国际、国家或行业、地方标准的企业，分别一次性给予</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第十三条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对新获批的市级以上高新技术产品，每个产品一次性给予</w:t>
      </w:r>
      <w:r w:rsidRPr="00444970">
        <w:rPr>
          <w:rFonts w:ascii="Tahoma" w:eastAsia="宋体" w:hAnsi="Tahoma" w:cs="Tahoma"/>
          <w:color w:val="333333"/>
          <w:kern w:val="0"/>
          <w:szCs w:val="21"/>
        </w:rPr>
        <w:t>2</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第十四条</w:t>
      </w:r>
      <w:r w:rsidRPr="00444970">
        <w:rPr>
          <w:rFonts w:ascii="Tahoma" w:eastAsia="宋体" w:hAnsi="Tahoma" w:cs="Tahoma"/>
          <w:color w:val="333333"/>
          <w:kern w:val="0"/>
          <w:szCs w:val="21"/>
        </w:rPr>
        <w:t>对获得质量管理体系认证</w:t>
      </w:r>
      <w:r w:rsidRPr="00444970">
        <w:rPr>
          <w:rFonts w:ascii="Tahoma" w:eastAsia="宋体" w:hAnsi="Tahoma" w:cs="Tahoma"/>
          <w:color w:val="333333"/>
          <w:kern w:val="0"/>
          <w:szCs w:val="21"/>
        </w:rPr>
        <w:t>ISO9001</w:t>
      </w:r>
      <w:r w:rsidRPr="00444970">
        <w:rPr>
          <w:rFonts w:ascii="Tahoma" w:eastAsia="宋体" w:hAnsi="Tahoma" w:cs="Tahoma"/>
          <w:color w:val="333333"/>
          <w:kern w:val="0"/>
          <w:szCs w:val="21"/>
        </w:rPr>
        <w:t>或</w:t>
      </w:r>
      <w:r w:rsidRPr="00444970">
        <w:rPr>
          <w:rFonts w:ascii="Tahoma" w:eastAsia="宋体" w:hAnsi="Tahoma" w:cs="Tahoma"/>
          <w:color w:val="333333"/>
          <w:kern w:val="0"/>
          <w:szCs w:val="21"/>
        </w:rPr>
        <w:t>ISO/TS16949</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ISO14001</w:t>
      </w:r>
      <w:r w:rsidRPr="00444970">
        <w:rPr>
          <w:rFonts w:ascii="Tahoma" w:eastAsia="宋体" w:hAnsi="Tahoma" w:cs="Tahoma"/>
          <w:color w:val="333333"/>
          <w:kern w:val="0"/>
          <w:szCs w:val="21"/>
        </w:rPr>
        <w:t>环境管理体系认证、</w:t>
      </w:r>
      <w:r w:rsidRPr="00444970">
        <w:rPr>
          <w:rFonts w:ascii="Tahoma" w:eastAsia="宋体" w:hAnsi="Tahoma" w:cs="Tahoma"/>
          <w:color w:val="333333"/>
          <w:kern w:val="0"/>
          <w:szCs w:val="21"/>
        </w:rPr>
        <w:t>OHSAS18001</w:t>
      </w:r>
      <w:r w:rsidRPr="00444970">
        <w:rPr>
          <w:rFonts w:ascii="Tahoma" w:eastAsia="宋体" w:hAnsi="Tahoma" w:cs="Tahoma"/>
          <w:color w:val="333333"/>
          <w:kern w:val="0"/>
          <w:szCs w:val="21"/>
        </w:rPr>
        <w:t>职业健康安全管理体系认证、</w:t>
      </w:r>
      <w:r w:rsidRPr="00444970">
        <w:rPr>
          <w:rFonts w:ascii="Tahoma" w:eastAsia="宋体" w:hAnsi="Tahoma" w:cs="Tahoma"/>
          <w:color w:val="333333"/>
          <w:kern w:val="0"/>
          <w:szCs w:val="21"/>
        </w:rPr>
        <w:t>ISO50001</w:t>
      </w:r>
      <w:r w:rsidRPr="00444970">
        <w:rPr>
          <w:rFonts w:ascii="Tahoma" w:eastAsia="宋体" w:hAnsi="Tahoma" w:cs="Tahoma"/>
          <w:color w:val="333333"/>
          <w:kern w:val="0"/>
          <w:szCs w:val="21"/>
        </w:rPr>
        <w:t>能源管理体系认证、</w:t>
      </w:r>
      <w:r w:rsidRPr="00444970">
        <w:rPr>
          <w:rFonts w:ascii="Tahoma" w:eastAsia="宋体" w:hAnsi="Tahoma" w:cs="Tahoma"/>
          <w:color w:val="333333"/>
          <w:kern w:val="0"/>
          <w:szCs w:val="21"/>
        </w:rPr>
        <w:t>ISO/IEC 27001</w:t>
      </w:r>
      <w:r w:rsidRPr="00444970">
        <w:rPr>
          <w:rFonts w:ascii="Tahoma" w:eastAsia="宋体" w:hAnsi="Tahoma" w:cs="Tahoma"/>
          <w:color w:val="333333"/>
          <w:kern w:val="0"/>
          <w:szCs w:val="21"/>
        </w:rPr>
        <w:t>信息安全管理体系认证的企业给予每张证书</w:t>
      </w:r>
      <w:r w:rsidRPr="00444970">
        <w:rPr>
          <w:rFonts w:ascii="Tahoma" w:eastAsia="宋体" w:hAnsi="Tahoma" w:cs="Tahoma"/>
          <w:color w:val="333333"/>
          <w:kern w:val="0"/>
          <w:szCs w:val="21"/>
        </w:rPr>
        <w:t>1</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第十五条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对企业内部检验检测机构通过资质认定并获得检验检测机构资质认证证书的企业给予一次性</w:t>
      </w:r>
      <w:r w:rsidRPr="00444970">
        <w:rPr>
          <w:rFonts w:ascii="Tahoma" w:eastAsia="宋体" w:hAnsi="Tahoma" w:cs="Tahoma"/>
          <w:color w:val="333333"/>
          <w:kern w:val="0"/>
          <w:szCs w:val="21"/>
        </w:rPr>
        <w:t>3</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第三章</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扶持创新创业服务载体建设</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第十六条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对新认定的国家级、市级公共技术服务平台、生产力促进中心、高新技术创业服务中心、留学人员科技创业园、大学生创业基地、返乡农民工创业基地、创业孵化基地、科技园区、软件园等分别一次性给予</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第十七条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对新认定的国家级国际科技合作基地一次性给予</w:t>
      </w:r>
      <w:r w:rsidRPr="00444970">
        <w:rPr>
          <w:rFonts w:ascii="Tahoma" w:eastAsia="宋体" w:hAnsi="Tahoma" w:cs="Tahoma"/>
          <w:color w:val="333333"/>
          <w:kern w:val="0"/>
          <w:szCs w:val="21"/>
        </w:rPr>
        <w:t>300</w:t>
      </w:r>
      <w:r w:rsidRPr="00444970">
        <w:rPr>
          <w:rFonts w:ascii="Tahoma" w:eastAsia="宋体" w:hAnsi="Tahoma" w:cs="Tahoma"/>
          <w:color w:val="333333"/>
          <w:kern w:val="0"/>
          <w:szCs w:val="21"/>
        </w:rPr>
        <w:t>万元补助；对新认定的国家、市级科技企业孵化器分别一次性给予</w:t>
      </w:r>
      <w:r w:rsidRPr="00444970">
        <w:rPr>
          <w:rFonts w:ascii="Tahoma" w:eastAsia="宋体" w:hAnsi="Tahoma" w:cs="Tahoma"/>
          <w:color w:val="333333"/>
          <w:kern w:val="0"/>
          <w:szCs w:val="21"/>
        </w:rPr>
        <w:t>300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第十八条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对新设立的院士专家工作站，一次性给予</w:t>
      </w:r>
      <w:r w:rsidRPr="00444970">
        <w:rPr>
          <w:rFonts w:ascii="Tahoma" w:eastAsia="宋体" w:hAnsi="Tahoma" w:cs="Tahoma"/>
          <w:color w:val="333333"/>
          <w:kern w:val="0"/>
          <w:szCs w:val="21"/>
        </w:rPr>
        <w:t>70</w:t>
      </w:r>
      <w:r w:rsidRPr="00444970">
        <w:rPr>
          <w:rFonts w:ascii="Tahoma" w:eastAsia="宋体" w:hAnsi="Tahoma" w:cs="Tahoma"/>
          <w:color w:val="333333"/>
          <w:kern w:val="0"/>
          <w:szCs w:val="21"/>
        </w:rPr>
        <w:t>万元补助；对新设立的国家级、市级博士后科研工作站、博士后科研流动站、博士后创新实践基地，分别一次性给予</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万元补助。对站内从事研究的博士后人员，日常经费补助标准为每人</w:t>
      </w:r>
      <w:r w:rsidRPr="00444970">
        <w:rPr>
          <w:rFonts w:ascii="Tahoma" w:eastAsia="宋体" w:hAnsi="Tahoma" w:cs="Tahoma"/>
          <w:color w:val="333333"/>
          <w:kern w:val="0"/>
          <w:szCs w:val="21"/>
        </w:rPr>
        <w:t>8</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年，对实践基地内从事研发的博士后人员，日常经费补助标准为每人</w:t>
      </w:r>
      <w:r w:rsidRPr="00444970">
        <w:rPr>
          <w:rFonts w:ascii="Tahoma" w:eastAsia="宋体" w:hAnsi="Tahoma" w:cs="Tahoma"/>
          <w:color w:val="333333"/>
          <w:kern w:val="0"/>
          <w:szCs w:val="21"/>
        </w:rPr>
        <w:t>5</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年，共支持</w:t>
      </w:r>
      <w:r w:rsidRPr="00444970">
        <w:rPr>
          <w:rFonts w:ascii="Tahoma" w:eastAsia="宋体" w:hAnsi="Tahoma" w:cs="Tahoma"/>
          <w:color w:val="333333"/>
          <w:kern w:val="0"/>
          <w:szCs w:val="21"/>
        </w:rPr>
        <w:t>2</w:t>
      </w:r>
      <w:r w:rsidRPr="00444970">
        <w:rPr>
          <w:rFonts w:ascii="Tahoma" w:eastAsia="宋体" w:hAnsi="Tahoma" w:cs="Tahoma"/>
          <w:color w:val="333333"/>
          <w:kern w:val="0"/>
          <w:szCs w:val="21"/>
        </w:rPr>
        <w:t>年。日常经费补助</w:t>
      </w:r>
      <w:r w:rsidRPr="00444970">
        <w:rPr>
          <w:rFonts w:ascii="Tahoma" w:eastAsia="宋体" w:hAnsi="Tahoma" w:cs="Tahoma"/>
          <w:color w:val="333333"/>
          <w:kern w:val="0"/>
          <w:szCs w:val="21"/>
        </w:rPr>
        <w:t>70%</w:t>
      </w:r>
      <w:r w:rsidRPr="00444970">
        <w:rPr>
          <w:rFonts w:ascii="Tahoma" w:eastAsia="宋体" w:hAnsi="Tahoma" w:cs="Tahoma"/>
          <w:color w:val="333333"/>
          <w:kern w:val="0"/>
          <w:szCs w:val="21"/>
        </w:rPr>
        <w:t>可用于生活补贴，如工作、医疗费、生活补助等，</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可用于工作经费；对新认定的市级专家大院、科普基地一次性给予</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第十九条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对新设立的国家技能大师工作室，一次性给予</w:t>
      </w:r>
      <w:r w:rsidRPr="00444970">
        <w:rPr>
          <w:rFonts w:ascii="Tahoma" w:eastAsia="宋体" w:hAnsi="Tahoma" w:cs="Tahoma"/>
          <w:color w:val="333333"/>
          <w:kern w:val="0"/>
          <w:szCs w:val="21"/>
        </w:rPr>
        <w:t>15</w:t>
      </w:r>
      <w:r w:rsidRPr="00444970">
        <w:rPr>
          <w:rFonts w:ascii="Tahoma" w:eastAsia="宋体" w:hAnsi="Tahoma" w:cs="Tahoma"/>
          <w:color w:val="333333"/>
          <w:kern w:val="0"/>
          <w:szCs w:val="21"/>
        </w:rPr>
        <w:t>万元补助；市级技能专家工作室，一次性给予</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万元补助；企业首席技师工作室，一次性给予</w:t>
      </w:r>
      <w:r w:rsidRPr="00444970">
        <w:rPr>
          <w:rFonts w:ascii="Tahoma" w:eastAsia="宋体" w:hAnsi="Tahoma" w:cs="Tahoma"/>
          <w:color w:val="333333"/>
          <w:kern w:val="0"/>
          <w:szCs w:val="21"/>
        </w:rPr>
        <w:t>5</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第二十条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对获批新建并通过计量认证的国家级检测中心，一次性给予</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万元补助。对经长寿区政府、市质监局认定，符合长寿区重点产业方向、填补重庆市检测能力空白，并通过计量认证开展检测业务的检验检测机构，一次性给予</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万元的补助。对新认定的重庆市</w:t>
      </w:r>
      <w:r w:rsidRPr="00444970">
        <w:rPr>
          <w:rFonts w:ascii="Tahoma" w:eastAsia="宋体" w:hAnsi="Tahoma" w:cs="Tahoma"/>
          <w:color w:val="333333"/>
          <w:kern w:val="0"/>
          <w:szCs w:val="21"/>
        </w:rPr>
        <w:t>A</w:t>
      </w:r>
      <w:r w:rsidRPr="00444970">
        <w:rPr>
          <w:rFonts w:ascii="Tahoma" w:eastAsia="宋体" w:hAnsi="Tahoma" w:cs="Tahoma"/>
          <w:color w:val="333333"/>
          <w:kern w:val="0"/>
          <w:szCs w:val="21"/>
        </w:rPr>
        <w:t>级检验检测机构，一次性给予</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万元的补助。对首次被第三方机构评定为诚信检验检测机构的一次性补助</w:t>
      </w:r>
      <w:r w:rsidRPr="00444970">
        <w:rPr>
          <w:rFonts w:ascii="Tahoma" w:eastAsia="宋体" w:hAnsi="Tahoma" w:cs="Tahoma"/>
          <w:color w:val="333333"/>
          <w:kern w:val="0"/>
          <w:szCs w:val="21"/>
        </w:rPr>
        <w:t>2</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第二十一条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支持企业购买本地创新服务机构的研发、检测、分析、咨询等服务，以创新券的形式，对购买服务的企业每年给予实际费用的</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补助，最高不超过</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 </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第二十二条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对由我区企业主导新建、具有行业影响力的国际性产业技术创新战略联盟，按每</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家会员补助</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万元的标准、给予主导企业，累计最高不超过</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万元的补助。对企业加入全球著名大学牵头的国际创新联盟、知名孵化器产生的会员费，每年给予其实际缴纳额的</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，最多不超过</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万元的补助。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lastRenderedPageBreak/>
        <w:t>第二十三条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对首次认定的国家级、市级优秀知识产权服务机构，分别一次性给予</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5</w:t>
      </w:r>
      <w:r w:rsidRPr="00444970">
        <w:rPr>
          <w:rFonts w:ascii="Tahoma" w:eastAsia="宋体" w:hAnsi="Tahoma" w:cs="Tahoma"/>
          <w:color w:val="333333"/>
          <w:kern w:val="0"/>
          <w:szCs w:val="21"/>
        </w:rPr>
        <w:t>万元的补助。对全国知识产权服务品牌培育机构，一次性给予</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万元补助。对由</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家企业（其中</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家本土企业）以上、</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项发明专利组建的重点产业专利联盟，一次性给予</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万元的补助；其后，专利联盟每扩充</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家本地企业或注入</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项发明专利，再一次性给予</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第四章</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加强企业研发机构建设</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第二十四条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企业研发机构法人化完成登记注册后，凭工商营业执照和税务登记证，一次性给予</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万元的补助；实际到位注册资本金超过</w:t>
      </w:r>
      <w:r w:rsidRPr="00444970">
        <w:rPr>
          <w:rFonts w:ascii="Tahoma" w:eastAsia="宋体" w:hAnsi="Tahoma" w:cs="Tahoma"/>
          <w:color w:val="333333"/>
          <w:kern w:val="0"/>
          <w:szCs w:val="21"/>
        </w:rPr>
        <w:t>3000</w:t>
      </w:r>
      <w:r w:rsidRPr="00444970">
        <w:rPr>
          <w:rFonts w:ascii="Tahoma" w:eastAsia="宋体" w:hAnsi="Tahoma" w:cs="Tahoma"/>
          <w:color w:val="333333"/>
          <w:kern w:val="0"/>
          <w:szCs w:val="21"/>
        </w:rPr>
        <w:t>万元的，一次性给予</w:t>
      </w:r>
      <w:r w:rsidRPr="00444970">
        <w:rPr>
          <w:rFonts w:ascii="Tahoma" w:eastAsia="宋体" w:hAnsi="Tahoma" w:cs="Tahoma"/>
          <w:color w:val="333333"/>
          <w:kern w:val="0"/>
          <w:szCs w:val="21"/>
        </w:rPr>
        <w:t>80</w:t>
      </w:r>
      <w:r w:rsidRPr="00444970">
        <w:rPr>
          <w:rFonts w:ascii="Tahoma" w:eastAsia="宋体" w:hAnsi="Tahoma" w:cs="Tahoma"/>
          <w:color w:val="333333"/>
          <w:kern w:val="0"/>
          <w:szCs w:val="21"/>
        </w:rPr>
        <w:t>万元补助；研发机构独立法人化运作三年内，缴纳企业所得税区级留成部分，以科技补助形式给予补助，最高不超过</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年。</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第二十五条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对在长注册设立独立法人化的新型高端研发机构，一次性给予</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第二十六条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对获得重庆市新型高端研发机构</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三高（高端平台培育资助专项、高端人才团队引进专项和高新技术研发主题专项）合一</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专项等国家、市级创新专项资金扶持的，按一定比例进行配套支持。</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第二十七条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研发机构需租赁区内高校院所闲置场所、园区自有或区内经认定的孵化平台厂房、办公楼的，按其房租第一至三年按应缴金额的</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、第四至五年按应缴金额的</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补助给企业，最高不超过</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年。</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第二十八条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落实首台（套）重大技术装备扶持政策，对采购使用属于重庆市首台（套）重大技术装备的单位，给予所购设备金额的</w:t>
      </w:r>
      <w:r w:rsidRPr="00444970">
        <w:rPr>
          <w:rFonts w:ascii="Tahoma" w:eastAsia="宋体" w:hAnsi="Tahoma" w:cs="Tahoma"/>
          <w:color w:val="333333"/>
          <w:kern w:val="0"/>
          <w:szCs w:val="21"/>
        </w:rPr>
        <w:t>15%</w:t>
      </w:r>
      <w:r w:rsidRPr="00444970">
        <w:rPr>
          <w:rFonts w:ascii="Tahoma" w:eastAsia="宋体" w:hAnsi="Tahoma" w:cs="Tahoma"/>
          <w:color w:val="333333"/>
          <w:kern w:val="0"/>
          <w:szCs w:val="21"/>
        </w:rPr>
        <w:t>补助。单个研发机构最高补助不超过</w:t>
      </w:r>
      <w:r w:rsidRPr="00444970">
        <w:rPr>
          <w:rFonts w:ascii="Tahoma" w:eastAsia="宋体" w:hAnsi="Tahoma" w:cs="Tahoma"/>
          <w:color w:val="333333"/>
          <w:kern w:val="0"/>
          <w:szCs w:val="21"/>
        </w:rPr>
        <w:t>200</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第二十九条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对购买机器人进行技术改造升级的企业，按照实际购买额的</w:t>
      </w:r>
      <w:r w:rsidRPr="00444970">
        <w:rPr>
          <w:rFonts w:ascii="Tahoma" w:eastAsia="宋体" w:hAnsi="Tahoma" w:cs="Tahoma"/>
          <w:color w:val="333333"/>
          <w:kern w:val="0"/>
          <w:szCs w:val="21"/>
        </w:rPr>
        <w:t>7%</w:t>
      </w:r>
      <w:r w:rsidRPr="00444970">
        <w:rPr>
          <w:rFonts w:ascii="Tahoma" w:eastAsia="宋体" w:hAnsi="Tahoma" w:cs="Tahoma"/>
          <w:color w:val="333333"/>
          <w:kern w:val="0"/>
          <w:szCs w:val="21"/>
        </w:rPr>
        <w:t>给予一次性补助，单个企业最高不超过</w:t>
      </w:r>
      <w:r w:rsidRPr="00444970">
        <w:rPr>
          <w:rFonts w:ascii="Tahoma" w:eastAsia="宋体" w:hAnsi="Tahoma" w:cs="Tahoma"/>
          <w:color w:val="333333"/>
          <w:kern w:val="0"/>
          <w:szCs w:val="21"/>
        </w:rPr>
        <w:t>200</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第五章</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扶持创新创业</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第三十条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对认定的区级科技创新类众创空间，给予</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万元的能力建设补助。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第三十一条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对新注册在长寿区并运行一年以上的科技创新服务机构，按其房租第一年按应缴金额的</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、第二至三年按应缴金额的</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补助给企业，最高不超过</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年。</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第三十二条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对入围重庆市科技小巨人培育专项行动的创新创业项目给予</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第三十三条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开展</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十大创新人才、十大创业人物</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评选活动，每年评选一次，给予适当补助，并颁发荣誉证书。</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第六章</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鼓励企业投融资</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第三十四条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对当年度通过</w:t>
      </w:r>
      <w:r w:rsidRPr="00444970">
        <w:rPr>
          <w:rFonts w:ascii="Tahoma" w:eastAsia="宋体" w:hAnsi="Tahoma" w:cs="Tahoma"/>
          <w:color w:val="333333"/>
          <w:kern w:val="0"/>
          <w:szCs w:val="21"/>
        </w:rPr>
        <w:t>IPO</w:t>
      </w:r>
      <w:r w:rsidRPr="00444970">
        <w:rPr>
          <w:rFonts w:ascii="Tahoma" w:eastAsia="宋体" w:hAnsi="Tahoma" w:cs="Tahoma"/>
          <w:color w:val="333333"/>
          <w:kern w:val="0"/>
          <w:szCs w:val="21"/>
        </w:rPr>
        <w:t>或增发股票募集资金、引入各类投资基金，并投资在长寿的科技创新企业，按年度新募集或引入资金额的</w:t>
      </w:r>
      <w:r w:rsidRPr="00444970">
        <w:rPr>
          <w:rFonts w:ascii="Tahoma" w:eastAsia="宋体" w:hAnsi="Tahoma" w:cs="Tahoma"/>
          <w:color w:val="333333"/>
          <w:kern w:val="0"/>
          <w:szCs w:val="21"/>
        </w:rPr>
        <w:t>5‰</w:t>
      </w:r>
      <w:r w:rsidRPr="00444970">
        <w:rPr>
          <w:rFonts w:ascii="Tahoma" w:eastAsia="宋体" w:hAnsi="Tahoma" w:cs="Tahoma"/>
          <w:color w:val="333333"/>
          <w:kern w:val="0"/>
          <w:szCs w:val="21"/>
        </w:rPr>
        <w:t>给予补助，补助总额不超过</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第三十五条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对当年度在新三板成功挂牌的科技创新企业，按上市实际支付的中介机构费用、交易所费用和推广辅助费用的</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给予一次性补助，补助总额不超过</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第三十六条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对当年度在重庆</w:t>
      </w:r>
      <w:r w:rsidRPr="00444970">
        <w:rPr>
          <w:rFonts w:ascii="Tahoma" w:eastAsia="宋体" w:hAnsi="Tahoma" w:cs="Tahoma"/>
          <w:color w:val="333333"/>
          <w:kern w:val="0"/>
          <w:szCs w:val="21"/>
        </w:rPr>
        <w:t>OTC</w:t>
      </w:r>
      <w:r w:rsidRPr="00444970">
        <w:rPr>
          <w:rFonts w:ascii="Tahoma" w:eastAsia="宋体" w:hAnsi="Tahoma" w:cs="Tahoma"/>
          <w:color w:val="333333"/>
          <w:kern w:val="0"/>
          <w:szCs w:val="21"/>
        </w:rPr>
        <w:t>成功挂牌的科技创新企业，按上市实际支付的中介机构费用、交易所费用和推广辅助费用的</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给予一次性补助，补助总额不超过</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第三十七条</w:t>
      </w:r>
      <w:r w:rsidRPr="00444970">
        <w:rPr>
          <w:rFonts w:ascii="Tahoma" w:eastAsia="宋体" w:hAnsi="Tahoma" w:cs="Tahoma"/>
          <w:b/>
          <w:bCs/>
          <w:color w:val="333333"/>
          <w:kern w:val="0"/>
          <w:szCs w:val="21"/>
        </w:rPr>
        <w:t xml:space="preserve">  </w:t>
      </w:r>
      <w:r w:rsidRPr="00444970">
        <w:rPr>
          <w:rFonts w:ascii="Tahoma" w:eastAsia="宋体" w:hAnsi="Tahoma" w:cs="Tahoma"/>
          <w:color w:val="333333"/>
          <w:kern w:val="0"/>
          <w:szCs w:val="21"/>
        </w:rPr>
        <w:t>对在境内外交易所成功上市的企业，一次性给予</w:t>
      </w:r>
      <w:r w:rsidRPr="00444970">
        <w:rPr>
          <w:rFonts w:ascii="Tahoma" w:eastAsia="宋体" w:hAnsi="Tahoma" w:cs="Tahoma"/>
          <w:color w:val="333333"/>
          <w:kern w:val="0"/>
          <w:szCs w:val="21"/>
        </w:rPr>
        <w:t>200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第三十八条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对向企业发放知识产权质押融资的银行，按当年基准利率</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给予贴息补助，降低银行贷款成本；企业当年研发经费占主营业务收入</w:t>
      </w:r>
      <w:r w:rsidRPr="00444970">
        <w:rPr>
          <w:rFonts w:ascii="Tahoma" w:eastAsia="宋体" w:hAnsi="Tahoma" w:cs="Tahoma"/>
          <w:color w:val="333333"/>
          <w:kern w:val="0"/>
          <w:szCs w:val="21"/>
        </w:rPr>
        <w:t>3%</w:t>
      </w:r>
      <w:r w:rsidRPr="00444970">
        <w:rPr>
          <w:rFonts w:ascii="Tahoma" w:eastAsia="宋体" w:hAnsi="Tahoma" w:cs="Tahoma"/>
          <w:color w:val="333333"/>
          <w:kern w:val="0"/>
          <w:szCs w:val="21"/>
        </w:rPr>
        <w:t>以上的入库科技型企业，获得贷款后在区知识产权局办理专利权质押贷款备案登记相关手续，并按期还本付息后，可申请利息补助。按当年基准利率</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给予补助，单户企业补助总额不超过</w:t>
      </w:r>
      <w:r w:rsidRPr="00444970">
        <w:rPr>
          <w:rFonts w:ascii="Tahoma" w:eastAsia="宋体" w:hAnsi="Tahoma" w:cs="Tahoma"/>
          <w:color w:val="333333"/>
          <w:kern w:val="0"/>
          <w:szCs w:val="21"/>
        </w:rPr>
        <w:t>200</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lastRenderedPageBreak/>
        <w:t>第三十九条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对企业购买的科技保险产品按险种给予不超过</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的保费补贴，每家企业每年补助总额最高不超过</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第四十条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鼓励各平台按需设立股权投资引导基金，并进行专业化运作。具体投资管理办法另行制定。</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第七章</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鼓励科技成果转化</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第四十一条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中试成果在区产业化、向下延伸打造产业链，按中试项目核定实际投资规模的</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给予一次性补助，单个中试项目补助最高不超过</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万元；单个企业有多个中试项目的，累计不超过</w:t>
      </w:r>
      <w:r w:rsidRPr="00444970">
        <w:rPr>
          <w:rFonts w:ascii="Tahoma" w:eastAsia="宋体" w:hAnsi="Tahoma" w:cs="Tahoma"/>
          <w:color w:val="333333"/>
          <w:kern w:val="0"/>
          <w:szCs w:val="21"/>
        </w:rPr>
        <w:t>80</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第四十二条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对企业购买或引进先进技术成果并实施产业化实际支出</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万元及以上的项目，根据企业实际支付技术合同金额的</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给予一次性补助，单个技术合同资助最高不超过</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万元；有多个技术成果的，累计不超过</w:t>
      </w:r>
      <w:r w:rsidRPr="00444970">
        <w:rPr>
          <w:rFonts w:ascii="Tahoma" w:eastAsia="宋体" w:hAnsi="Tahoma" w:cs="Tahoma"/>
          <w:color w:val="333333"/>
          <w:kern w:val="0"/>
          <w:szCs w:val="21"/>
        </w:rPr>
        <w:t>60</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第四十三条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积极推动专利技术产业化，鼓励企业加大对具有自主知识产权产品的研发并加快实施产业化，其单项产品初始年新增销售收入在</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万元以上的，按新增销售收入</w:t>
      </w:r>
      <w:r w:rsidRPr="00444970">
        <w:rPr>
          <w:rFonts w:ascii="Tahoma" w:eastAsia="宋体" w:hAnsi="Tahoma" w:cs="Tahoma"/>
          <w:color w:val="333333"/>
          <w:kern w:val="0"/>
          <w:szCs w:val="21"/>
        </w:rPr>
        <w:t>2%</w:t>
      </w:r>
      <w:r w:rsidRPr="00444970">
        <w:rPr>
          <w:rFonts w:ascii="Tahoma" w:eastAsia="宋体" w:hAnsi="Tahoma" w:cs="Tahoma"/>
          <w:color w:val="333333"/>
          <w:kern w:val="0"/>
          <w:szCs w:val="21"/>
        </w:rPr>
        <w:t>给予一次性补助，最高不超过</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万元，其中</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给予生产企业，</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给予研发机构。</w:t>
      </w:r>
    </w:p>
    <w:p w:rsidR="00444970" w:rsidRPr="00444970" w:rsidRDefault="00444970" w:rsidP="0006368F">
      <w:pPr>
        <w:widowControl/>
        <w:shd w:val="clear" w:color="auto" w:fill="FFFFFF"/>
        <w:jc w:val="center"/>
        <w:rPr>
          <w:rFonts w:ascii="Tahoma" w:eastAsia="宋体" w:hAnsi="Tahoma" w:cs="Tahoma"/>
          <w:color w:val="333333"/>
          <w:kern w:val="0"/>
          <w:szCs w:val="21"/>
        </w:rPr>
      </w:pPr>
      <w:r w:rsidRPr="00444970">
        <w:rPr>
          <w:rFonts w:ascii="Tahoma" w:eastAsia="宋体" w:hAnsi="Tahoma" w:cs="Tahoma"/>
          <w:color w:val="333333"/>
          <w:kern w:val="0"/>
          <w:szCs w:val="21"/>
        </w:rPr>
        <w:t>第八章</w:t>
      </w:r>
      <w:r w:rsidRPr="00444970">
        <w:rPr>
          <w:rFonts w:ascii="Tahoma" w:eastAsia="宋体" w:hAnsi="Tahoma" w:cs="Tahoma"/>
          <w:color w:val="333333"/>
          <w:kern w:val="0"/>
          <w:szCs w:val="21"/>
        </w:rPr>
        <w:t xml:space="preserve">  </w:t>
      </w:r>
      <w:r w:rsidRPr="00444970">
        <w:rPr>
          <w:rFonts w:ascii="Tahoma" w:eastAsia="宋体" w:hAnsi="Tahoma" w:cs="Tahoma"/>
          <w:color w:val="333333"/>
          <w:kern w:val="0"/>
          <w:szCs w:val="21"/>
        </w:rPr>
        <w:t>加强人才及成果引进</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第四十四条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对引进、调入（迁入）或柔性引进的中国科学院院士、中国工程院院士、外籍院士等，其核心技术成果在区内转化的产品年销售收入达</w:t>
      </w:r>
      <w:r w:rsidRPr="00444970">
        <w:rPr>
          <w:rFonts w:ascii="Tahoma" w:eastAsia="宋体" w:hAnsi="Tahoma" w:cs="Tahoma"/>
          <w:color w:val="333333"/>
          <w:kern w:val="0"/>
          <w:szCs w:val="21"/>
        </w:rPr>
        <w:t>2000</w:t>
      </w:r>
      <w:r w:rsidRPr="00444970">
        <w:rPr>
          <w:rFonts w:ascii="Tahoma" w:eastAsia="宋体" w:hAnsi="Tahoma" w:cs="Tahoma"/>
          <w:color w:val="333333"/>
          <w:kern w:val="0"/>
          <w:szCs w:val="21"/>
        </w:rPr>
        <w:t>万元以上，一次性给予</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第四十五条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对引进、调入（迁入）或柔性引进的国家引进海外高层次人才计划（千人计划）人选、国家自然科学奖、国家技术发明奖、国家科学技术进步奖一等奖获得者前三名、国家</w:t>
      </w:r>
      <w:r w:rsidRPr="00444970">
        <w:rPr>
          <w:rFonts w:ascii="Tahoma" w:eastAsia="宋体" w:hAnsi="Tahoma" w:cs="Tahoma"/>
          <w:color w:val="333333"/>
          <w:kern w:val="0"/>
          <w:szCs w:val="21"/>
        </w:rPr>
        <w:t>“863”“973”</w:t>
      </w:r>
      <w:r w:rsidRPr="00444970">
        <w:rPr>
          <w:rFonts w:ascii="Tahoma" w:eastAsia="宋体" w:hAnsi="Tahoma" w:cs="Tahoma"/>
          <w:color w:val="333333"/>
          <w:kern w:val="0"/>
          <w:szCs w:val="21"/>
        </w:rPr>
        <w:t>重大科研项目主持人等，其核心技术成果在区内转化的产品年销售收入达</w:t>
      </w:r>
      <w:r w:rsidRPr="00444970">
        <w:rPr>
          <w:rFonts w:ascii="Tahoma" w:eastAsia="宋体" w:hAnsi="Tahoma" w:cs="Tahoma"/>
          <w:color w:val="333333"/>
          <w:kern w:val="0"/>
          <w:szCs w:val="21"/>
        </w:rPr>
        <w:t>1000</w:t>
      </w:r>
      <w:r w:rsidRPr="00444970">
        <w:rPr>
          <w:rFonts w:ascii="Tahoma" w:eastAsia="宋体" w:hAnsi="Tahoma" w:cs="Tahoma"/>
          <w:color w:val="333333"/>
          <w:kern w:val="0"/>
          <w:szCs w:val="21"/>
        </w:rPr>
        <w:t>万元以上，一次性给予</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第四十六条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对引进、调入（迁入）或柔性引进的国家级重点学科（重点实验室、工程技术研究中心）学术技术带头人、国家自然科学奖（国家技术发明奖、国家科学技术进步奖）二等奖获得者前三名、</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新世纪百千万人才工程</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国家级人选、国家杰出青年科学基金获得者、国家有突出贡献中青年专家、卫生部有突出贡献中青年专家、</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长江学者计划</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特聘教授等，其核心技术成果在区内转化的产品年销售收入达</w:t>
      </w:r>
      <w:r w:rsidRPr="00444970">
        <w:rPr>
          <w:rFonts w:ascii="Tahoma" w:eastAsia="宋体" w:hAnsi="Tahoma" w:cs="Tahoma"/>
          <w:color w:val="333333"/>
          <w:kern w:val="0"/>
          <w:szCs w:val="21"/>
        </w:rPr>
        <w:t>500</w:t>
      </w:r>
      <w:r w:rsidRPr="00444970">
        <w:rPr>
          <w:rFonts w:ascii="Tahoma" w:eastAsia="宋体" w:hAnsi="Tahoma" w:cs="Tahoma"/>
          <w:color w:val="333333"/>
          <w:kern w:val="0"/>
          <w:szCs w:val="21"/>
        </w:rPr>
        <w:t>万元以上，一次性给予</w:t>
      </w:r>
      <w:r w:rsidRPr="00444970">
        <w:rPr>
          <w:rFonts w:ascii="Tahoma" w:eastAsia="宋体" w:hAnsi="Tahoma" w:cs="Tahoma"/>
          <w:color w:val="333333"/>
          <w:kern w:val="0"/>
          <w:szCs w:val="21"/>
        </w:rPr>
        <w:t>25</w:t>
      </w:r>
      <w:r w:rsidRPr="00444970">
        <w:rPr>
          <w:rFonts w:ascii="Tahoma" w:eastAsia="宋体" w:hAnsi="Tahoma" w:cs="Tahoma"/>
          <w:color w:val="333333"/>
          <w:kern w:val="0"/>
          <w:szCs w:val="21"/>
        </w:rPr>
        <w:t>万元补助。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第四十七条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对获得国家最高科学技术奖的单位或个人，给予</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万元补助；对获得国家级奖励（即自然科学奖、技术发明奖、科学技术进步奖）特等奖、一等奖和二等奖的第一完成单位或个人分别给予一次性补助</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50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第四十八条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对获得市科技突出贡献奖的单位或个人，给予一次性补助</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万元；对获得市级奖励（即重庆市自然科学奖、重庆市技术发明奖、重庆市科学技术进步奖）特等奖、一等奖、二等奖和三等奖的第一完成单位或个人分别给予一次性补助</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20</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15</w:t>
      </w:r>
      <w:r w:rsidRPr="00444970">
        <w:rPr>
          <w:rFonts w:ascii="Tahoma" w:eastAsia="宋体" w:hAnsi="Tahoma" w:cs="Tahoma"/>
          <w:color w:val="333333"/>
          <w:kern w:val="0"/>
          <w:szCs w:val="21"/>
        </w:rPr>
        <w:t>万元、</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万元；获得重庆市企业技术创新奖的，给予一次性补助</w:t>
      </w:r>
      <w:r w:rsidRPr="00444970">
        <w:rPr>
          <w:rFonts w:ascii="Tahoma" w:eastAsia="宋体" w:hAnsi="Tahoma" w:cs="Tahoma"/>
          <w:color w:val="333333"/>
          <w:kern w:val="0"/>
          <w:szCs w:val="21"/>
        </w:rPr>
        <w:t>10</w:t>
      </w:r>
      <w:r w:rsidRPr="00444970">
        <w:rPr>
          <w:rFonts w:ascii="Tahoma" w:eastAsia="宋体" w:hAnsi="Tahoma" w:cs="Tahoma"/>
          <w:color w:val="333333"/>
          <w:kern w:val="0"/>
          <w:szCs w:val="21"/>
        </w:rPr>
        <w:t>万元。</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第九章</w:t>
      </w:r>
      <w:r w:rsidRPr="00444970">
        <w:rPr>
          <w:rFonts w:ascii="Tahoma" w:eastAsia="宋体" w:hAnsi="Tahoma" w:cs="Tahoma"/>
          <w:color w:val="333333"/>
          <w:kern w:val="0"/>
          <w:szCs w:val="21"/>
        </w:rPr>
        <w:t xml:space="preserve">  </w:t>
      </w:r>
      <w:r w:rsidRPr="00444970">
        <w:rPr>
          <w:rFonts w:ascii="Tahoma" w:eastAsia="宋体" w:hAnsi="Tahoma" w:cs="Tahoma"/>
          <w:color w:val="333333"/>
          <w:kern w:val="0"/>
          <w:szCs w:val="21"/>
        </w:rPr>
        <w:t>其他</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第四十九条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对在长寿区申报纳税的且当年有授权发明专利的高新技术企业研发人员（项目主研人员），给予所缴纳的个人所得税长寿区级留存部分的</w:t>
      </w:r>
      <w:r w:rsidRPr="00444970">
        <w:rPr>
          <w:rFonts w:ascii="Tahoma" w:eastAsia="宋体" w:hAnsi="Tahoma" w:cs="Tahoma"/>
          <w:color w:val="333333"/>
          <w:kern w:val="0"/>
          <w:szCs w:val="21"/>
        </w:rPr>
        <w:t>100%</w:t>
      </w:r>
      <w:r w:rsidRPr="00444970">
        <w:rPr>
          <w:rFonts w:ascii="Tahoma" w:eastAsia="宋体" w:hAnsi="Tahoma" w:cs="Tahoma"/>
          <w:color w:val="333333"/>
          <w:kern w:val="0"/>
          <w:szCs w:val="21"/>
        </w:rPr>
        <w:t>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第五十条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对通过长寿区申报并获得国务院特殊津贴的科研人员给予国家津贴的</w:t>
      </w:r>
      <w:r w:rsidRPr="00444970">
        <w:rPr>
          <w:rFonts w:ascii="Tahoma" w:eastAsia="宋体" w:hAnsi="Tahoma" w:cs="Tahoma"/>
          <w:color w:val="333333"/>
          <w:kern w:val="0"/>
          <w:szCs w:val="21"/>
        </w:rPr>
        <w:t>1:1</w:t>
      </w:r>
      <w:r w:rsidRPr="00444970">
        <w:rPr>
          <w:rFonts w:ascii="Tahoma" w:eastAsia="宋体" w:hAnsi="Tahoma" w:cs="Tahoma"/>
          <w:color w:val="333333"/>
          <w:kern w:val="0"/>
          <w:szCs w:val="21"/>
        </w:rPr>
        <w:t>配套补助。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第五十一条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实施生物医药、精细化工、装备制造、新材料新能源、电子信息等五大科技专项，区级每年给予每个专项</w:t>
      </w:r>
      <w:r w:rsidRPr="00444970">
        <w:rPr>
          <w:rFonts w:ascii="Tahoma" w:eastAsia="宋体" w:hAnsi="Tahoma" w:cs="Tahoma"/>
          <w:color w:val="333333"/>
          <w:kern w:val="0"/>
          <w:szCs w:val="21"/>
        </w:rPr>
        <w:t>1000</w:t>
      </w:r>
      <w:r w:rsidRPr="00444970">
        <w:rPr>
          <w:rFonts w:ascii="Tahoma" w:eastAsia="宋体" w:hAnsi="Tahoma" w:cs="Tahoma"/>
          <w:color w:val="333333"/>
          <w:kern w:val="0"/>
          <w:szCs w:val="21"/>
        </w:rPr>
        <w:t>万元扶持资金，持续</w:t>
      </w:r>
      <w:r w:rsidRPr="00444970">
        <w:rPr>
          <w:rFonts w:ascii="Tahoma" w:eastAsia="宋体" w:hAnsi="Tahoma" w:cs="Tahoma"/>
          <w:color w:val="333333"/>
          <w:kern w:val="0"/>
          <w:szCs w:val="21"/>
        </w:rPr>
        <w:t>5</w:t>
      </w:r>
      <w:r w:rsidRPr="00444970">
        <w:rPr>
          <w:rFonts w:ascii="Tahoma" w:eastAsia="宋体" w:hAnsi="Tahoma" w:cs="Tahoma"/>
          <w:color w:val="333333"/>
          <w:kern w:val="0"/>
          <w:szCs w:val="21"/>
        </w:rPr>
        <w:t>年。具体实施细则另外制定。</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第十章</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申报、审核和组织实施</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lastRenderedPageBreak/>
        <w:t>第五十二条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区创新驱动发展领导小组办公室设在区发展改革委，负责统筹协调创新驱动发展战略实施。区科委负责项目申报日常管理和补助资助补贴项目的绩效考评，牵头制定项目申报实施细则、方案及配套政策，区发展改革委、区财政局、区经信委、区人力社保局、区质监局配合。区科委、区工商分局、区人社局牵头制定创新人才、创业人物评选补助办法并组织实施。区财政局负责专项资金筹集管理，长寿经开区财务局配合。区审计局负责专项资金使用、管理的审计和监督。</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第五十三条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符合申报区创新驱动发展战略专项资金支持条件的单位或个人，按项目申报要求向区科委提出申报。项目申报办理程序：</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color w:val="333333"/>
          <w:kern w:val="0"/>
          <w:szCs w:val="21"/>
        </w:rPr>
        <w:t>（一）材料准备。符合条件的单位或个人，按照区科委公布的申报流程、时限及材料等要求做好申报准备工作。</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color w:val="333333"/>
          <w:kern w:val="0"/>
          <w:szCs w:val="21"/>
        </w:rPr>
        <w:t>（二）受理。长寿经开区外的申报材料由区科委受理；长寿经开区内的申报材料由长寿经开区经发局、运行局和财务局初审后交区科委受理。</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color w:val="333333"/>
          <w:kern w:val="0"/>
          <w:szCs w:val="21"/>
        </w:rPr>
        <w:t>（三）审查。通过形式审查的项目，报区创新驱动发展领导小组办公室，并组织相关部门及专家对项目进行定性和定量评价，将企业信用信息报告纳入申报要件进行审查，排除本区重复性补助，必要时可进行现场核查，提出审查意见。</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color w:val="333333"/>
          <w:kern w:val="0"/>
          <w:szCs w:val="21"/>
        </w:rPr>
        <w:t>（四）公示。区科委对审查符合补助条件的研发创新项目在长寿日报、政府门户网站进行公示，公示时间为</w:t>
      </w:r>
      <w:r w:rsidRPr="00444970">
        <w:rPr>
          <w:rFonts w:ascii="Tahoma" w:eastAsia="宋体" w:hAnsi="Tahoma" w:cs="Tahoma"/>
          <w:color w:val="333333"/>
          <w:kern w:val="0"/>
          <w:szCs w:val="21"/>
        </w:rPr>
        <w:t>7</w:t>
      </w:r>
      <w:r w:rsidRPr="00444970">
        <w:rPr>
          <w:rFonts w:ascii="Tahoma" w:eastAsia="宋体" w:hAnsi="Tahoma" w:cs="Tahoma"/>
          <w:color w:val="333333"/>
          <w:kern w:val="0"/>
          <w:szCs w:val="21"/>
        </w:rPr>
        <w:t>天。并收集反馈意见，受理书面异议。对公示项目有异议的，自受理之日起</w:t>
      </w:r>
      <w:r w:rsidRPr="00444970">
        <w:rPr>
          <w:rFonts w:ascii="Tahoma" w:eastAsia="宋体" w:hAnsi="Tahoma" w:cs="Tahoma"/>
          <w:color w:val="333333"/>
          <w:kern w:val="0"/>
          <w:szCs w:val="21"/>
        </w:rPr>
        <w:t>30</w:t>
      </w:r>
      <w:r w:rsidRPr="00444970">
        <w:rPr>
          <w:rFonts w:ascii="Tahoma" w:eastAsia="宋体" w:hAnsi="Tahoma" w:cs="Tahoma"/>
          <w:color w:val="333333"/>
          <w:kern w:val="0"/>
          <w:szCs w:val="21"/>
        </w:rPr>
        <w:t>日内提出处理意见。</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color w:val="333333"/>
          <w:kern w:val="0"/>
          <w:szCs w:val="21"/>
        </w:rPr>
        <w:t>（五）兑现。对公示结果无异议的，由区科委报区政府审核批准后予以兑现。获得补助的企业应制定补助分配办法，原则上资金分配应向做出突出贡献的科研团队或个人倾斜。</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第十一章</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监督管理</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第五十四条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申报单位或个人应当保证申报材料的真实性、申报成果的有效性。违反国家法律法规，虚构事实、隐瞒真相骗取补助的，应当取消补助资格，追回已发放的补助资金，将失信企业纳入</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黑名单</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，实行联合惩戒，三年内不得申请各类财政资金支持；构成犯罪的，依法追究刑事责任。</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第五十五条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审核、认定的部门、机构和人员应依法认真履行职责。伙同或帮助他人骗取补助的，由区发展改革委、区科委、区经信委、区财政局报请其主管部门（单位）严肃处理，并向社会公告；构成犯罪的，依法追究刑事责任。</w:t>
      </w:r>
    </w:p>
    <w:p w:rsidR="00444970" w:rsidRPr="00444970" w:rsidRDefault="00444970" w:rsidP="00444970">
      <w:pPr>
        <w:widowControl/>
        <w:shd w:val="clear" w:color="auto" w:fill="FFFFFF"/>
        <w:wordWrap w:val="0"/>
        <w:jc w:val="center"/>
        <w:rPr>
          <w:rFonts w:ascii="Tahoma" w:eastAsia="宋体" w:hAnsi="Tahoma" w:cs="Tahoma"/>
          <w:color w:val="333333"/>
          <w:kern w:val="0"/>
          <w:szCs w:val="21"/>
        </w:rPr>
      </w:pPr>
      <w:r w:rsidRPr="00444970">
        <w:rPr>
          <w:rFonts w:ascii="Tahoma" w:eastAsia="宋体" w:hAnsi="Tahoma" w:cs="Tahoma"/>
          <w:color w:val="333333"/>
          <w:kern w:val="0"/>
          <w:szCs w:val="21"/>
        </w:rPr>
        <w:t>第十二章</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附</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则</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第五十六条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本办法所指的认定主体是国家、重庆市、长寿区相关主管行政管理部门和权威机构。本办法所指的认定时间自</w:t>
      </w:r>
      <w:r w:rsidRPr="00444970">
        <w:rPr>
          <w:rFonts w:ascii="Tahoma" w:eastAsia="宋体" w:hAnsi="Tahoma" w:cs="Tahoma"/>
          <w:color w:val="333333"/>
          <w:kern w:val="0"/>
          <w:szCs w:val="21"/>
        </w:rPr>
        <w:t>2017</w:t>
      </w:r>
      <w:r w:rsidRPr="00444970">
        <w:rPr>
          <w:rFonts w:ascii="Tahoma" w:eastAsia="宋体" w:hAnsi="Tahoma" w:cs="Tahoma"/>
          <w:color w:val="333333"/>
          <w:kern w:val="0"/>
          <w:szCs w:val="21"/>
        </w:rPr>
        <w:t>年</w:t>
      </w:r>
      <w:r w:rsidRPr="00444970">
        <w:rPr>
          <w:rFonts w:ascii="Tahoma" w:eastAsia="宋体" w:hAnsi="Tahoma" w:cs="Tahoma"/>
          <w:color w:val="333333"/>
          <w:kern w:val="0"/>
          <w:szCs w:val="21"/>
        </w:rPr>
        <w:t xml:space="preserve">1 </w:t>
      </w:r>
      <w:r w:rsidRPr="00444970">
        <w:rPr>
          <w:rFonts w:ascii="Tahoma" w:eastAsia="宋体" w:hAnsi="Tahoma" w:cs="Tahoma"/>
          <w:color w:val="333333"/>
          <w:kern w:val="0"/>
          <w:szCs w:val="21"/>
        </w:rPr>
        <w:t>月</w:t>
      </w:r>
      <w:r w:rsidRPr="00444970">
        <w:rPr>
          <w:rFonts w:ascii="Tahoma" w:eastAsia="宋体" w:hAnsi="Tahoma" w:cs="Tahoma"/>
          <w:color w:val="333333"/>
          <w:kern w:val="0"/>
          <w:szCs w:val="21"/>
        </w:rPr>
        <w:t>1</w:t>
      </w:r>
      <w:r w:rsidRPr="00444970">
        <w:rPr>
          <w:rFonts w:ascii="Tahoma" w:eastAsia="宋体" w:hAnsi="Tahoma" w:cs="Tahoma"/>
          <w:color w:val="333333"/>
          <w:kern w:val="0"/>
          <w:szCs w:val="21"/>
        </w:rPr>
        <w:t>日起。</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第五十七条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本办法所鼓励扶持的项目未能与国家、市扶持的项目相对应或遇重大事项需另行安排的，由区创新驱动发展领导小组按</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一事一议</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原则另行研究确定。</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第五十八条</w:t>
      </w:r>
      <w:r w:rsidRPr="00444970">
        <w:rPr>
          <w:rFonts w:ascii="Tahoma" w:eastAsia="宋体" w:hAnsi="Tahoma" w:cs="Tahoma"/>
          <w:b/>
          <w:bCs/>
          <w:color w:val="333333"/>
          <w:kern w:val="0"/>
          <w:szCs w:val="21"/>
        </w:rPr>
        <w:t>  </w:t>
      </w:r>
      <w:r w:rsidRPr="00444970">
        <w:rPr>
          <w:rFonts w:ascii="Tahoma" w:eastAsia="宋体" w:hAnsi="Tahoma" w:cs="Tahoma"/>
          <w:color w:val="333333"/>
          <w:kern w:val="0"/>
          <w:szCs w:val="21"/>
        </w:rPr>
        <w:t>本办法与我区已出台的补助扶持政策重复部分，申报单位和个人只能选择其一，不可重复享受；对本办法第六条，申报单位和个人只能选择其一，不可凭</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一企多牌</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重复享受，就高不就低；企业同一单位和个人以不同口径申报国家级或市级相似研发创新项目，按照</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不重复享受</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原则，依据本办法予以补助。</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第五十九条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废止《关于印发</w:t>
      </w:r>
      <w:r w:rsidRPr="00444970">
        <w:rPr>
          <w:rFonts w:ascii="Tahoma" w:eastAsia="宋体" w:hAnsi="Tahoma" w:cs="Tahoma"/>
          <w:color w:val="333333"/>
          <w:kern w:val="0"/>
          <w:szCs w:val="21"/>
        </w:rPr>
        <w:t>&lt;</w:t>
      </w:r>
      <w:r w:rsidRPr="00444970">
        <w:rPr>
          <w:rFonts w:ascii="Tahoma" w:eastAsia="宋体" w:hAnsi="Tahoma" w:cs="Tahoma"/>
          <w:color w:val="333333"/>
          <w:kern w:val="0"/>
          <w:szCs w:val="21"/>
        </w:rPr>
        <w:t>重庆市长寿区创新驱动发展战略专项资金管理办法（试行）</w:t>
      </w:r>
      <w:r w:rsidRPr="00444970">
        <w:rPr>
          <w:rFonts w:ascii="Tahoma" w:eastAsia="宋体" w:hAnsi="Tahoma" w:cs="Tahoma"/>
          <w:color w:val="333333"/>
          <w:kern w:val="0"/>
          <w:szCs w:val="21"/>
        </w:rPr>
        <w:t>&gt;</w:t>
      </w:r>
      <w:r w:rsidRPr="00444970">
        <w:rPr>
          <w:rFonts w:ascii="Tahoma" w:eastAsia="宋体" w:hAnsi="Tahoma" w:cs="Tahoma"/>
          <w:color w:val="333333"/>
          <w:kern w:val="0"/>
          <w:szCs w:val="21"/>
        </w:rPr>
        <w:t>的通知）》（长发改发〔</w:t>
      </w:r>
      <w:r w:rsidRPr="00444970">
        <w:rPr>
          <w:rFonts w:ascii="Tahoma" w:eastAsia="宋体" w:hAnsi="Tahoma" w:cs="Tahoma"/>
          <w:color w:val="333333"/>
          <w:kern w:val="0"/>
          <w:szCs w:val="21"/>
        </w:rPr>
        <w:t>2016</w:t>
      </w:r>
      <w:r w:rsidRPr="00444970">
        <w:rPr>
          <w:rFonts w:ascii="Tahoma" w:eastAsia="宋体" w:hAnsi="Tahoma" w:cs="Tahoma"/>
          <w:color w:val="333333"/>
          <w:kern w:val="0"/>
          <w:szCs w:val="21"/>
        </w:rPr>
        <w:t>〕</w:t>
      </w:r>
      <w:r w:rsidRPr="00444970">
        <w:rPr>
          <w:rFonts w:ascii="Tahoma" w:eastAsia="宋体" w:hAnsi="Tahoma" w:cs="Tahoma"/>
          <w:color w:val="333333"/>
          <w:kern w:val="0"/>
          <w:szCs w:val="21"/>
        </w:rPr>
        <w:t>1</w:t>
      </w:r>
      <w:r w:rsidRPr="00444970">
        <w:rPr>
          <w:rFonts w:ascii="Tahoma" w:eastAsia="宋体" w:hAnsi="Tahoma" w:cs="Tahoma"/>
          <w:color w:val="333333"/>
          <w:kern w:val="0"/>
          <w:szCs w:val="21"/>
        </w:rPr>
        <w:t>号）文件，本办法由重庆市长寿区人民政府负责解释。</w:t>
      </w:r>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b/>
          <w:bCs/>
          <w:color w:val="333333"/>
          <w:kern w:val="0"/>
          <w:szCs w:val="21"/>
        </w:rPr>
        <w:t>第六十条</w:t>
      </w:r>
      <w:r w:rsidRPr="00444970">
        <w:rPr>
          <w:rFonts w:ascii="Tahoma" w:eastAsia="宋体" w:hAnsi="Tahoma" w:cs="Tahoma"/>
          <w:color w:val="333333"/>
          <w:kern w:val="0"/>
          <w:szCs w:val="21"/>
        </w:rPr>
        <w:t>  </w:t>
      </w:r>
      <w:r w:rsidRPr="00444970">
        <w:rPr>
          <w:rFonts w:ascii="Tahoma" w:eastAsia="宋体" w:hAnsi="Tahoma" w:cs="Tahoma"/>
          <w:color w:val="333333"/>
          <w:kern w:val="0"/>
          <w:szCs w:val="21"/>
        </w:rPr>
        <w:t>本办法自</w:t>
      </w:r>
      <w:r w:rsidRPr="00444970">
        <w:rPr>
          <w:rFonts w:ascii="Tahoma" w:eastAsia="宋体" w:hAnsi="Tahoma" w:cs="Tahoma"/>
          <w:color w:val="333333"/>
          <w:kern w:val="0"/>
          <w:szCs w:val="21"/>
        </w:rPr>
        <w:t>2017</w:t>
      </w:r>
      <w:r w:rsidRPr="00444970">
        <w:rPr>
          <w:rFonts w:ascii="Tahoma" w:eastAsia="宋体" w:hAnsi="Tahoma" w:cs="Tahoma"/>
          <w:color w:val="333333"/>
          <w:kern w:val="0"/>
          <w:szCs w:val="21"/>
        </w:rPr>
        <w:t>年</w:t>
      </w:r>
      <w:r w:rsidRPr="00444970">
        <w:rPr>
          <w:rFonts w:ascii="Tahoma" w:eastAsia="宋体" w:hAnsi="Tahoma" w:cs="Tahoma"/>
          <w:color w:val="333333"/>
          <w:kern w:val="0"/>
          <w:szCs w:val="21"/>
        </w:rPr>
        <w:t>9</w:t>
      </w:r>
      <w:r w:rsidRPr="00444970">
        <w:rPr>
          <w:rFonts w:ascii="Tahoma" w:eastAsia="宋体" w:hAnsi="Tahoma" w:cs="Tahoma"/>
          <w:color w:val="333333"/>
          <w:kern w:val="0"/>
          <w:szCs w:val="21"/>
        </w:rPr>
        <w:t>月</w:t>
      </w:r>
      <w:r w:rsidRPr="00444970">
        <w:rPr>
          <w:rFonts w:ascii="Tahoma" w:eastAsia="宋体" w:hAnsi="Tahoma" w:cs="Tahoma"/>
          <w:color w:val="333333"/>
          <w:kern w:val="0"/>
          <w:szCs w:val="21"/>
        </w:rPr>
        <w:t>1</w:t>
      </w:r>
      <w:r w:rsidRPr="00444970">
        <w:rPr>
          <w:rFonts w:ascii="Tahoma" w:eastAsia="宋体" w:hAnsi="Tahoma" w:cs="Tahoma"/>
          <w:color w:val="333333"/>
          <w:kern w:val="0"/>
          <w:szCs w:val="21"/>
        </w:rPr>
        <w:t>日起执行。</w:t>
      </w:r>
      <w:bookmarkStart w:id="0" w:name="_GoBack"/>
      <w:bookmarkEnd w:id="0"/>
    </w:p>
    <w:p w:rsidR="00444970" w:rsidRPr="00444970" w:rsidRDefault="00444970" w:rsidP="00444970">
      <w:pPr>
        <w:widowControl/>
        <w:shd w:val="clear" w:color="auto" w:fill="FFFFFF"/>
        <w:wordWrap w:val="0"/>
        <w:jc w:val="left"/>
        <w:rPr>
          <w:rFonts w:ascii="Tahoma" w:eastAsia="宋体" w:hAnsi="Tahoma" w:cs="Tahoma"/>
          <w:color w:val="333333"/>
          <w:kern w:val="0"/>
          <w:szCs w:val="21"/>
        </w:rPr>
      </w:pPr>
      <w:r w:rsidRPr="00444970">
        <w:rPr>
          <w:rFonts w:ascii="Tahoma" w:eastAsia="宋体" w:hAnsi="Tahoma" w:cs="Tahoma"/>
          <w:noProof/>
          <w:color w:val="333333"/>
          <w:kern w:val="0"/>
          <w:szCs w:val="21"/>
        </w:rPr>
        <w:lastRenderedPageBreak/>
        <mc:AlternateContent>
          <mc:Choice Requires="wps">
            <w:drawing>
              <wp:inline distT="0" distB="0" distL="0" distR="0">
                <wp:extent cx="1794510" cy="500380"/>
                <wp:effectExtent l="0" t="0" r="0" b="0"/>
                <wp:docPr id="1" name="矩形 1" descr="C:\DOCUME~1\ADMINI~1\LOCALS~1\Temp\ksohtml\wps38C.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9451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3C1C3F" id="矩形 1" o:spid="_x0000_s1026" style="width:141.3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" filled="f" stroked="f">
                <o:lock v:ext="edit" aspectratio="t"/>
                <w10:anchorlock/>
              </v:rect>
            </w:pict>
          </mc:Fallback>
        </mc:AlternateContent>
      </w:r>
      <w:r w:rsidRPr="00444970">
        <w:rPr>
          <w:rFonts w:ascii="Tahoma" w:eastAsia="宋体" w:hAnsi="Tahoma" w:cs="Tahoma"/>
          <w:color w:val="333333"/>
          <w:kern w:val="0"/>
          <w:szCs w:val="21"/>
        </w:rPr>
        <w:t>重庆市长寿区人民政府办公室</w:t>
      </w:r>
      <w:r w:rsidRPr="00444970">
        <w:rPr>
          <w:rFonts w:ascii="Tahoma" w:eastAsia="宋体" w:hAnsi="Tahoma" w:cs="Tahoma"/>
          <w:color w:val="333333"/>
          <w:kern w:val="0"/>
          <w:szCs w:val="21"/>
        </w:rPr>
        <w:t>              2017</w:t>
      </w:r>
      <w:r w:rsidRPr="00444970">
        <w:rPr>
          <w:rFonts w:ascii="Tahoma" w:eastAsia="宋体" w:hAnsi="Tahoma" w:cs="Tahoma"/>
          <w:color w:val="333333"/>
          <w:kern w:val="0"/>
          <w:szCs w:val="21"/>
        </w:rPr>
        <w:t>年</w:t>
      </w:r>
      <w:r w:rsidRPr="00444970">
        <w:rPr>
          <w:rFonts w:ascii="Tahoma" w:eastAsia="宋体" w:hAnsi="Tahoma" w:cs="Tahoma"/>
          <w:color w:val="333333"/>
          <w:kern w:val="0"/>
          <w:szCs w:val="21"/>
        </w:rPr>
        <w:t>7</w:t>
      </w:r>
      <w:r w:rsidRPr="00444970">
        <w:rPr>
          <w:rFonts w:ascii="Tahoma" w:eastAsia="宋体" w:hAnsi="Tahoma" w:cs="Tahoma"/>
          <w:color w:val="333333"/>
          <w:kern w:val="0"/>
          <w:szCs w:val="21"/>
        </w:rPr>
        <w:t>月</w:t>
      </w:r>
      <w:r w:rsidRPr="00444970">
        <w:rPr>
          <w:rFonts w:ascii="Tahoma" w:eastAsia="宋体" w:hAnsi="Tahoma" w:cs="Tahoma"/>
          <w:color w:val="333333"/>
          <w:kern w:val="0"/>
          <w:szCs w:val="21"/>
        </w:rPr>
        <w:t>24</w:t>
      </w:r>
      <w:r w:rsidRPr="00444970">
        <w:rPr>
          <w:rFonts w:ascii="Tahoma" w:eastAsia="宋体" w:hAnsi="Tahoma" w:cs="Tahoma"/>
          <w:color w:val="333333"/>
          <w:kern w:val="0"/>
          <w:szCs w:val="21"/>
        </w:rPr>
        <w:t>日印发</w:t>
      </w:r>
    </w:p>
    <w:p w:rsidR="00315A0B" w:rsidRDefault="00315A0B"/>
    <w:sectPr w:rsidR="00315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9B"/>
    <w:rsid w:val="0006368F"/>
    <w:rsid w:val="00315A0B"/>
    <w:rsid w:val="00444970"/>
    <w:rsid w:val="007D4E7E"/>
    <w:rsid w:val="00B74D9B"/>
    <w:rsid w:val="00FE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FB86B-202E-4140-A2C9-4CFCE893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657629">
      <w:bodyDiv w:val="1"/>
      <w:marLeft w:val="0"/>
      <w:marRight w:val="0"/>
      <w:marTop w:val="0"/>
      <w:marBottom w:val="0"/>
      <w:divBdr>
        <w:top w:val="none" w:sz="0" w:space="0" w:color="auto"/>
        <w:left w:val="none" w:sz="0" w:space="0" w:color="auto"/>
        <w:bottom w:val="none" w:sz="0" w:space="0" w:color="auto"/>
        <w:right w:val="none" w:sz="0" w:space="0" w:color="auto"/>
      </w:divBdr>
      <w:divsChild>
        <w:div w:id="1252742405">
          <w:marLeft w:val="0"/>
          <w:marRight w:val="0"/>
          <w:marTop w:val="0"/>
          <w:marBottom w:val="0"/>
          <w:divBdr>
            <w:top w:val="none" w:sz="0" w:space="0" w:color="auto"/>
            <w:left w:val="none" w:sz="0" w:space="0" w:color="auto"/>
            <w:bottom w:val="none" w:sz="0" w:space="0" w:color="auto"/>
            <w:right w:val="none" w:sz="0" w:space="0" w:color="auto"/>
          </w:divBdr>
        </w:div>
        <w:div w:id="796873357">
          <w:marLeft w:val="0"/>
          <w:marRight w:val="0"/>
          <w:marTop w:val="0"/>
          <w:marBottom w:val="0"/>
          <w:divBdr>
            <w:top w:val="none" w:sz="0" w:space="0" w:color="auto"/>
            <w:left w:val="none" w:sz="0" w:space="0" w:color="auto"/>
            <w:bottom w:val="none" w:sz="0" w:space="0" w:color="auto"/>
            <w:right w:val="none" w:sz="0" w:space="0" w:color="auto"/>
          </w:divBdr>
        </w:div>
        <w:div w:id="2132937334">
          <w:marLeft w:val="0"/>
          <w:marRight w:val="0"/>
          <w:marTop w:val="0"/>
          <w:marBottom w:val="0"/>
          <w:divBdr>
            <w:top w:val="none" w:sz="0" w:space="0" w:color="auto"/>
            <w:left w:val="none" w:sz="0" w:space="0" w:color="auto"/>
            <w:bottom w:val="none" w:sz="0" w:space="0" w:color="auto"/>
            <w:right w:val="none" w:sz="0" w:space="0" w:color="auto"/>
          </w:divBdr>
        </w:div>
        <w:div w:id="1418090553">
          <w:marLeft w:val="0"/>
          <w:marRight w:val="0"/>
          <w:marTop w:val="0"/>
          <w:marBottom w:val="0"/>
          <w:divBdr>
            <w:top w:val="none" w:sz="0" w:space="0" w:color="auto"/>
            <w:left w:val="none" w:sz="0" w:space="0" w:color="auto"/>
            <w:bottom w:val="none" w:sz="0" w:space="0" w:color="auto"/>
            <w:right w:val="none" w:sz="0" w:space="0" w:color="auto"/>
          </w:divBdr>
        </w:div>
        <w:div w:id="793327990">
          <w:marLeft w:val="0"/>
          <w:marRight w:val="0"/>
          <w:marTop w:val="0"/>
          <w:marBottom w:val="0"/>
          <w:divBdr>
            <w:top w:val="none" w:sz="0" w:space="0" w:color="auto"/>
            <w:left w:val="none" w:sz="0" w:space="0" w:color="auto"/>
            <w:bottom w:val="none" w:sz="0" w:space="0" w:color="auto"/>
            <w:right w:val="none" w:sz="0" w:space="0" w:color="auto"/>
          </w:divBdr>
        </w:div>
        <w:div w:id="53937371">
          <w:marLeft w:val="0"/>
          <w:marRight w:val="0"/>
          <w:marTop w:val="0"/>
          <w:marBottom w:val="0"/>
          <w:divBdr>
            <w:top w:val="none" w:sz="0" w:space="0" w:color="auto"/>
            <w:left w:val="none" w:sz="0" w:space="0" w:color="auto"/>
            <w:bottom w:val="none" w:sz="0" w:space="0" w:color="auto"/>
            <w:right w:val="none" w:sz="0" w:space="0" w:color="auto"/>
          </w:divBdr>
        </w:div>
        <w:div w:id="1029523622">
          <w:marLeft w:val="0"/>
          <w:marRight w:val="0"/>
          <w:marTop w:val="0"/>
          <w:marBottom w:val="0"/>
          <w:divBdr>
            <w:top w:val="none" w:sz="0" w:space="0" w:color="auto"/>
            <w:left w:val="none" w:sz="0" w:space="0" w:color="auto"/>
            <w:bottom w:val="none" w:sz="0" w:space="0" w:color="auto"/>
            <w:right w:val="none" w:sz="0" w:space="0" w:color="auto"/>
          </w:divBdr>
        </w:div>
        <w:div w:id="703869294">
          <w:marLeft w:val="0"/>
          <w:marRight w:val="0"/>
          <w:marTop w:val="0"/>
          <w:marBottom w:val="0"/>
          <w:divBdr>
            <w:top w:val="none" w:sz="0" w:space="0" w:color="auto"/>
            <w:left w:val="none" w:sz="0" w:space="0" w:color="auto"/>
            <w:bottom w:val="none" w:sz="0" w:space="0" w:color="auto"/>
            <w:right w:val="none" w:sz="0" w:space="0" w:color="auto"/>
          </w:divBdr>
        </w:div>
        <w:div w:id="1715734421">
          <w:marLeft w:val="0"/>
          <w:marRight w:val="0"/>
          <w:marTop w:val="0"/>
          <w:marBottom w:val="0"/>
          <w:divBdr>
            <w:top w:val="none" w:sz="0" w:space="0" w:color="auto"/>
            <w:left w:val="none" w:sz="0" w:space="0" w:color="auto"/>
            <w:bottom w:val="none" w:sz="0" w:space="0" w:color="auto"/>
            <w:right w:val="none" w:sz="0" w:space="0" w:color="auto"/>
          </w:divBdr>
        </w:div>
        <w:div w:id="1745252763">
          <w:marLeft w:val="0"/>
          <w:marRight w:val="0"/>
          <w:marTop w:val="0"/>
          <w:marBottom w:val="0"/>
          <w:divBdr>
            <w:top w:val="none" w:sz="0" w:space="0" w:color="auto"/>
            <w:left w:val="none" w:sz="0" w:space="0" w:color="auto"/>
            <w:bottom w:val="none" w:sz="0" w:space="0" w:color="auto"/>
            <w:right w:val="none" w:sz="0" w:space="0" w:color="auto"/>
          </w:divBdr>
        </w:div>
        <w:div w:id="48119948">
          <w:marLeft w:val="0"/>
          <w:marRight w:val="0"/>
          <w:marTop w:val="0"/>
          <w:marBottom w:val="0"/>
          <w:divBdr>
            <w:top w:val="none" w:sz="0" w:space="0" w:color="auto"/>
            <w:left w:val="none" w:sz="0" w:space="0" w:color="auto"/>
            <w:bottom w:val="none" w:sz="0" w:space="0" w:color="auto"/>
            <w:right w:val="none" w:sz="0" w:space="0" w:color="auto"/>
          </w:divBdr>
        </w:div>
        <w:div w:id="1124079134">
          <w:marLeft w:val="0"/>
          <w:marRight w:val="0"/>
          <w:marTop w:val="0"/>
          <w:marBottom w:val="0"/>
          <w:divBdr>
            <w:top w:val="none" w:sz="0" w:space="0" w:color="auto"/>
            <w:left w:val="none" w:sz="0" w:space="0" w:color="auto"/>
            <w:bottom w:val="none" w:sz="0" w:space="0" w:color="auto"/>
            <w:right w:val="none" w:sz="0" w:space="0" w:color="auto"/>
          </w:divBdr>
        </w:div>
        <w:div w:id="239874977">
          <w:marLeft w:val="0"/>
          <w:marRight w:val="0"/>
          <w:marTop w:val="0"/>
          <w:marBottom w:val="0"/>
          <w:divBdr>
            <w:top w:val="none" w:sz="0" w:space="0" w:color="auto"/>
            <w:left w:val="none" w:sz="0" w:space="0" w:color="auto"/>
            <w:bottom w:val="none" w:sz="0" w:space="0" w:color="auto"/>
            <w:right w:val="none" w:sz="0" w:space="0" w:color="auto"/>
          </w:divBdr>
        </w:div>
        <w:div w:id="1215390529">
          <w:marLeft w:val="0"/>
          <w:marRight w:val="0"/>
          <w:marTop w:val="0"/>
          <w:marBottom w:val="0"/>
          <w:divBdr>
            <w:top w:val="none" w:sz="0" w:space="0" w:color="auto"/>
            <w:left w:val="none" w:sz="0" w:space="0" w:color="auto"/>
            <w:bottom w:val="none" w:sz="0" w:space="0" w:color="auto"/>
            <w:right w:val="none" w:sz="0" w:space="0" w:color="auto"/>
          </w:divBdr>
        </w:div>
        <w:div w:id="1447507468">
          <w:marLeft w:val="0"/>
          <w:marRight w:val="0"/>
          <w:marTop w:val="0"/>
          <w:marBottom w:val="0"/>
          <w:divBdr>
            <w:top w:val="none" w:sz="0" w:space="0" w:color="auto"/>
            <w:left w:val="none" w:sz="0" w:space="0" w:color="auto"/>
            <w:bottom w:val="none" w:sz="0" w:space="0" w:color="auto"/>
            <w:right w:val="none" w:sz="0" w:space="0" w:color="auto"/>
          </w:divBdr>
        </w:div>
        <w:div w:id="1870872448">
          <w:marLeft w:val="0"/>
          <w:marRight w:val="0"/>
          <w:marTop w:val="0"/>
          <w:marBottom w:val="0"/>
          <w:divBdr>
            <w:top w:val="none" w:sz="0" w:space="0" w:color="auto"/>
            <w:left w:val="none" w:sz="0" w:space="0" w:color="auto"/>
            <w:bottom w:val="none" w:sz="0" w:space="0" w:color="auto"/>
            <w:right w:val="none" w:sz="0" w:space="0" w:color="auto"/>
          </w:divBdr>
        </w:div>
        <w:div w:id="515316778">
          <w:marLeft w:val="0"/>
          <w:marRight w:val="0"/>
          <w:marTop w:val="0"/>
          <w:marBottom w:val="0"/>
          <w:divBdr>
            <w:top w:val="none" w:sz="0" w:space="0" w:color="auto"/>
            <w:left w:val="none" w:sz="0" w:space="0" w:color="auto"/>
            <w:bottom w:val="none" w:sz="0" w:space="0" w:color="auto"/>
            <w:right w:val="none" w:sz="0" w:space="0" w:color="auto"/>
          </w:divBdr>
        </w:div>
        <w:div w:id="300885313">
          <w:marLeft w:val="0"/>
          <w:marRight w:val="0"/>
          <w:marTop w:val="0"/>
          <w:marBottom w:val="0"/>
          <w:divBdr>
            <w:top w:val="none" w:sz="0" w:space="0" w:color="auto"/>
            <w:left w:val="none" w:sz="0" w:space="0" w:color="auto"/>
            <w:bottom w:val="none" w:sz="0" w:space="0" w:color="auto"/>
            <w:right w:val="none" w:sz="0" w:space="0" w:color="auto"/>
          </w:divBdr>
        </w:div>
        <w:div w:id="915018760">
          <w:marLeft w:val="0"/>
          <w:marRight w:val="0"/>
          <w:marTop w:val="0"/>
          <w:marBottom w:val="0"/>
          <w:divBdr>
            <w:top w:val="none" w:sz="0" w:space="0" w:color="auto"/>
            <w:left w:val="none" w:sz="0" w:space="0" w:color="auto"/>
            <w:bottom w:val="none" w:sz="0" w:space="0" w:color="auto"/>
            <w:right w:val="none" w:sz="0" w:space="0" w:color="auto"/>
          </w:divBdr>
        </w:div>
        <w:div w:id="23406447">
          <w:marLeft w:val="0"/>
          <w:marRight w:val="0"/>
          <w:marTop w:val="0"/>
          <w:marBottom w:val="0"/>
          <w:divBdr>
            <w:top w:val="none" w:sz="0" w:space="0" w:color="auto"/>
            <w:left w:val="none" w:sz="0" w:space="0" w:color="auto"/>
            <w:bottom w:val="none" w:sz="0" w:space="0" w:color="auto"/>
            <w:right w:val="none" w:sz="0" w:space="0" w:color="auto"/>
          </w:divBdr>
        </w:div>
        <w:div w:id="1437023999">
          <w:marLeft w:val="0"/>
          <w:marRight w:val="0"/>
          <w:marTop w:val="0"/>
          <w:marBottom w:val="0"/>
          <w:divBdr>
            <w:top w:val="none" w:sz="0" w:space="0" w:color="auto"/>
            <w:left w:val="none" w:sz="0" w:space="0" w:color="auto"/>
            <w:bottom w:val="none" w:sz="0" w:space="0" w:color="auto"/>
            <w:right w:val="none" w:sz="0" w:space="0" w:color="auto"/>
          </w:divBdr>
        </w:div>
        <w:div w:id="1240366524">
          <w:marLeft w:val="0"/>
          <w:marRight w:val="0"/>
          <w:marTop w:val="0"/>
          <w:marBottom w:val="0"/>
          <w:divBdr>
            <w:top w:val="none" w:sz="0" w:space="0" w:color="auto"/>
            <w:left w:val="none" w:sz="0" w:space="0" w:color="auto"/>
            <w:bottom w:val="none" w:sz="0" w:space="0" w:color="auto"/>
            <w:right w:val="none" w:sz="0" w:space="0" w:color="auto"/>
          </w:divBdr>
        </w:div>
        <w:div w:id="1222209419">
          <w:marLeft w:val="0"/>
          <w:marRight w:val="0"/>
          <w:marTop w:val="0"/>
          <w:marBottom w:val="0"/>
          <w:divBdr>
            <w:top w:val="none" w:sz="0" w:space="0" w:color="auto"/>
            <w:left w:val="none" w:sz="0" w:space="0" w:color="auto"/>
            <w:bottom w:val="none" w:sz="0" w:space="0" w:color="auto"/>
            <w:right w:val="none" w:sz="0" w:space="0" w:color="auto"/>
          </w:divBdr>
        </w:div>
        <w:div w:id="1445609255">
          <w:marLeft w:val="0"/>
          <w:marRight w:val="0"/>
          <w:marTop w:val="0"/>
          <w:marBottom w:val="0"/>
          <w:divBdr>
            <w:top w:val="none" w:sz="0" w:space="0" w:color="auto"/>
            <w:left w:val="none" w:sz="0" w:space="0" w:color="auto"/>
            <w:bottom w:val="none" w:sz="0" w:space="0" w:color="auto"/>
            <w:right w:val="none" w:sz="0" w:space="0" w:color="auto"/>
          </w:divBdr>
        </w:div>
        <w:div w:id="1499418696">
          <w:marLeft w:val="0"/>
          <w:marRight w:val="0"/>
          <w:marTop w:val="0"/>
          <w:marBottom w:val="0"/>
          <w:divBdr>
            <w:top w:val="none" w:sz="0" w:space="0" w:color="auto"/>
            <w:left w:val="none" w:sz="0" w:space="0" w:color="auto"/>
            <w:bottom w:val="none" w:sz="0" w:space="0" w:color="auto"/>
            <w:right w:val="none" w:sz="0" w:space="0" w:color="auto"/>
          </w:divBdr>
        </w:div>
        <w:div w:id="2128893377">
          <w:marLeft w:val="0"/>
          <w:marRight w:val="0"/>
          <w:marTop w:val="0"/>
          <w:marBottom w:val="0"/>
          <w:divBdr>
            <w:top w:val="none" w:sz="0" w:space="0" w:color="auto"/>
            <w:left w:val="none" w:sz="0" w:space="0" w:color="auto"/>
            <w:bottom w:val="none" w:sz="0" w:space="0" w:color="auto"/>
            <w:right w:val="none" w:sz="0" w:space="0" w:color="auto"/>
          </w:divBdr>
        </w:div>
        <w:div w:id="2018926008">
          <w:marLeft w:val="0"/>
          <w:marRight w:val="0"/>
          <w:marTop w:val="0"/>
          <w:marBottom w:val="0"/>
          <w:divBdr>
            <w:top w:val="none" w:sz="0" w:space="0" w:color="auto"/>
            <w:left w:val="none" w:sz="0" w:space="0" w:color="auto"/>
            <w:bottom w:val="none" w:sz="0" w:space="0" w:color="auto"/>
            <w:right w:val="none" w:sz="0" w:space="0" w:color="auto"/>
          </w:divBdr>
        </w:div>
        <w:div w:id="26608424">
          <w:marLeft w:val="0"/>
          <w:marRight w:val="0"/>
          <w:marTop w:val="0"/>
          <w:marBottom w:val="0"/>
          <w:divBdr>
            <w:top w:val="none" w:sz="0" w:space="0" w:color="auto"/>
            <w:left w:val="none" w:sz="0" w:space="0" w:color="auto"/>
            <w:bottom w:val="none" w:sz="0" w:space="0" w:color="auto"/>
            <w:right w:val="none" w:sz="0" w:space="0" w:color="auto"/>
          </w:divBdr>
        </w:div>
        <w:div w:id="696779742">
          <w:marLeft w:val="0"/>
          <w:marRight w:val="0"/>
          <w:marTop w:val="0"/>
          <w:marBottom w:val="0"/>
          <w:divBdr>
            <w:top w:val="none" w:sz="0" w:space="0" w:color="auto"/>
            <w:left w:val="none" w:sz="0" w:space="0" w:color="auto"/>
            <w:bottom w:val="none" w:sz="0" w:space="0" w:color="auto"/>
            <w:right w:val="none" w:sz="0" w:space="0" w:color="auto"/>
          </w:divBdr>
        </w:div>
        <w:div w:id="1528832540">
          <w:marLeft w:val="0"/>
          <w:marRight w:val="0"/>
          <w:marTop w:val="0"/>
          <w:marBottom w:val="0"/>
          <w:divBdr>
            <w:top w:val="none" w:sz="0" w:space="0" w:color="auto"/>
            <w:left w:val="none" w:sz="0" w:space="0" w:color="auto"/>
            <w:bottom w:val="none" w:sz="0" w:space="0" w:color="auto"/>
            <w:right w:val="none" w:sz="0" w:space="0" w:color="auto"/>
          </w:divBdr>
        </w:div>
        <w:div w:id="241180986">
          <w:marLeft w:val="0"/>
          <w:marRight w:val="0"/>
          <w:marTop w:val="0"/>
          <w:marBottom w:val="0"/>
          <w:divBdr>
            <w:top w:val="none" w:sz="0" w:space="0" w:color="auto"/>
            <w:left w:val="none" w:sz="0" w:space="0" w:color="auto"/>
            <w:bottom w:val="none" w:sz="0" w:space="0" w:color="auto"/>
            <w:right w:val="none" w:sz="0" w:space="0" w:color="auto"/>
          </w:divBdr>
        </w:div>
        <w:div w:id="1030912766">
          <w:marLeft w:val="0"/>
          <w:marRight w:val="0"/>
          <w:marTop w:val="0"/>
          <w:marBottom w:val="0"/>
          <w:divBdr>
            <w:top w:val="none" w:sz="0" w:space="0" w:color="auto"/>
            <w:left w:val="none" w:sz="0" w:space="0" w:color="auto"/>
            <w:bottom w:val="none" w:sz="0" w:space="0" w:color="auto"/>
            <w:right w:val="none" w:sz="0" w:space="0" w:color="auto"/>
          </w:divBdr>
        </w:div>
        <w:div w:id="263617824">
          <w:marLeft w:val="0"/>
          <w:marRight w:val="0"/>
          <w:marTop w:val="0"/>
          <w:marBottom w:val="0"/>
          <w:divBdr>
            <w:top w:val="none" w:sz="0" w:space="0" w:color="auto"/>
            <w:left w:val="none" w:sz="0" w:space="0" w:color="auto"/>
            <w:bottom w:val="none" w:sz="0" w:space="0" w:color="auto"/>
            <w:right w:val="none" w:sz="0" w:space="0" w:color="auto"/>
          </w:divBdr>
        </w:div>
        <w:div w:id="1745836623">
          <w:marLeft w:val="0"/>
          <w:marRight w:val="0"/>
          <w:marTop w:val="0"/>
          <w:marBottom w:val="0"/>
          <w:divBdr>
            <w:top w:val="none" w:sz="0" w:space="0" w:color="auto"/>
            <w:left w:val="none" w:sz="0" w:space="0" w:color="auto"/>
            <w:bottom w:val="none" w:sz="0" w:space="0" w:color="auto"/>
            <w:right w:val="none" w:sz="0" w:space="0" w:color="auto"/>
          </w:divBdr>
        </w:div>
        <w:div w:id="641466862">
          <w:marLeft w:val="0"/>
          <w:marRight w:val="0"/>
          <w:marTop w:val="0"/>
          <w:marBottom w:val="0"/>
          <w:divBdr>
            <w:top w:val="none" w:sz="0" w:space="0" w:color="auto"/>
            <w:left w:val="none" w:sz="0" w:space="0" w:color="auto"/>
            <w:bottom w:val="none" w:sz="0" w:space="0" w:color="auto"/>
            <w:right w:val="none" w:sz="0" w:space="0" w:color="auto"/>
          </w:divBdr>
        </w:div>
        <w:div w:id="441537339">
          <w:marLeft w:val="0"/>
          <w:marRight w:val="0"/>
          <w:marTop w:val="0"/>
          <w:marBottom w:val="0"/>
          <w:divBdr>
            <w:top w:val="none" w:sz="0" w:space="0" w:color="auto"/>
            <w:left w:val="none" w:sz="0" w:space="0" w:color="auto"/>
            <w:bottom w:val="none" w:sz="0" w:space="0" w:color="auto"/>
            <w:right w:val="none" w:sz="0" w:space="0" w:color="auto"/>
          </w:divBdr>
        </w:div>
        <w:div w:id="467743154">
          <w:marLeft w:val="0"/>
          <w:marRight w:val="0"/>
          <w:marTop w:val="0"/>
          <w:marBottom w:val="0"/>
          <w:divBdr>
            <w:top w:val="none" w:sz="0" w:space="0" w:color="auto"/>
            <w:left w:val="none" w:sz="0" w:space="0" w:color="auto"/>
            <w:bottom w:val="none" w:sz="0" w:space="0" w:color="auto"/>
            <w:right w:val="none" w:sz="0" w:space="0" w:color="auto"/>
          </w:divBdr>
        </w:div>
        <w:div w:id="419646232">
          <w:marLeft w:val="0"/>
          <w:marRight w:val="0"/>
          <w:marTop w:val="0"/>
          <w:marBottom w:val="0"/>
          <w:divBdr>
            <w:top w:val="none" w:sz="0" w:space="0" w:color="auto"/>
            <w:left w:val="none" w:sz="0" w:space="0" w:color="auto"/>
            <w:bottom w:val="none" w:sz="0" w:space="0" w:color="auto"/>
            <w:right w:val="none" w:sz="0" w:space="0" w:color="auto"/>
          </w:divBdr>
        </w:div>
        <w:div w:id="2067335576">
          <w:marLeft w:val="0"/>
          <w:marRight w:val="0"/>
          <w:marTop w:val="0"/>
          <w:marBottom w:val="0"/>
          <w:divBdr>
            <w:top w:val="none" w:sz="0" w:space="0" w:color="auto"/>
            <w:left w:val="none" w:sz="0" w:space="0" w:color="auto"/>
            <w:bottom w:val="none" w:sz="0" w:space="0" w:color="auto"/>
            <w:right w:val="none" w:sz="0" w:space="0" w:color="auto"/>
          </w:divBdr>
        </w:div>
        <w:div w:id="615016272">
          <w:marLeft w:val="0"/>
          <w:marRight w:val="0"/>
          <w:marTop w:val="0"/>
          <w:marBottom w:val="0"/>
          <w:divBdr>
            <w:top w:val="none" w:sz="0" w:space="0" w:color="auto"/>
            <w:left w:val="none" w:sz="0" w:space="0" w:color="auto"/>
            <w:bottom w:val="none" w:sz="0" w:space="0" w:color="auto"/>
            <w:right w:val="none" w:sz="0" w:space="0" w:color="auto"/>
          </w:divBdr>
        </w:div>
        <w:div w:id="244270294">
          <w:marLeft w:val="0"/>
          <w:marRight w:val="0"/>
          <w:marTop w:val="0"/>
          <w:marBottom w:val="0"/>
          <w:divBdr>
            <w:top w:val="none" w:sz="0" w:space="0" w:color="auto"/>
            <w:left w:val="none" w:sz="0" w:space="0" w:color="auto"/>
            <w:bottom w:val="none" w:sz="0" w:space="0" w:color="auto"/>
            <w:right w:val="none" w:sz="0" w:space="0" w:color="auto"/>
          </w:divBdr>
        </w:div>
        <w:div w:id="1620186600">
          <w:marLeft w:val="0"/>
          <w:marRight w:val="0"/>
          <w:marTop w:val="0"/>
          <w:marBottom w:val="0"/>
          <w:divBdr>
            <w:top w:val="none" w:sz="0" w:space="0" w:color="auto"/>
            <w:left w:val="none" w:sz="0" w:space="0" w:color="auto"/>
            <w:bottom w:val="none" w:sz="0" w:space="0" w:color="auto"/>
            <w:right w:val="none" w:sz="0" w:space="0" w:color="auto"/>
          </w:divBdr>
        </w:div>
        <w:div w:id="1762674081">
          <w:marLeft w:val="0"/>
          <w:marRight w:val="0"/>
          <w:marTop w:val="0"/>
          <w:marBottom w:val="0"/>
          <w:divBdr>
            <w:top w:val="none" w:sz="0" w:space="0" w:color="auto"/>
            <w:left w:val="none" w:sz="0" w:space="0" w:color="auto"/>
            <w:bottom w:val="none" w:sz="0" w:space="0" w:color="auto"/>
            <w:right w:val="none" w:sz="0" w:space="0" w:color="auto"/>
          </w:divBdr>
        </w:div>
        <w:div w:id="1083181945">
          <w:marLeft w:val="0"/>
          <w:marRight w:val="0"/>
          <w:marTop w:val="0"/>
          <w:marBottom w:val="0"/>
          <w:divBdr>
            <w:top w:val="none" w:sz="0" w:space="0" w:color="auto"/>
            <w:left w:val="none" w:sz="0" w:space="0" w:color="auto"/>
            <w:bottom w:val="none" w:sz="0" w:space="0" w:color="auto"/>
            <w:right w:val="none" w:sz="0" w:space="0" w:color="auto"/>
          </w:divBdr>
        </w:div>
        <w:div w:id="845751296">
          <w:marLeft w:val="0"/>
          <w:marRight w:val="0"/>
          <w:marTop w:val="0"/>
          <w:marBottom w:val="0"/>
          <w:divBdr>
            <w:top w:val="none" w:sz="0" w:space="0" w:color="auto"/>
            <w:left w:val="none" w:sz="0" w:space="0" w:color="auto"/>
            <w:bottom w:val="none" w:sz="0" w:space="0" w:color="auto"/>
            <w:right w:val="none" w:sz="0" w:space="0" w:color="auto"/>
          </w:divBdr>
        </w:div>
        <w:div w:id="832795176">
          <w:marLeft w:val="0"/>
          <w:marRight w:val="0"/>
          <w:marTop w:val="0"/>
          <w:marBottom w:val="0"/>
          <w:divBdr>
            <w:top w:val="none" w:sz="0" w:space="0" w:color="auto"/>
            <w:left w:val="none" w:sz="0" w:space="0" w:color="auto"/>
            <w:bottom w:val="none" w:sz="0" w:space="0" w:color="auto"/>
            <w:right w:val="none" w:sz="0" w:space="0" w:color="auto"/>
          </w:divBdr>
        </w:div>
        <w:div w:id="513226609">
          <w:marLeft w:val="0"/>
          <w:marRight w:val="0"/>
          <w:marTop w:val="0"/>
          <w:marBottom w:val="0"/>
          <w:divBdr>
            <w:top w:val="none" w:sz="0" w:space="0" w:color="auto"/>
            <w:left w:val="none" w:sz="0" w:space="0" w:color="auto"/>
            <w:bottom w:val="none" w:sz="0" w:space="0" w:color="auto"/>
            <w:right w:val="none" w:sz="0" w:space="0" w:color="auto"/>
          </w:divBdr>
        </w:div>
        <w:div w:id="2144617424">
          <w:marLeft w:val="0"/>
          <w:marRight w:val="0"/>
          <w:marTop w:val="0"/>
          <w:marBottom w:val="0"/>
          <w:divBdr>
            <w:top w:val="none" w:sz="0" w:space="0" w:color="auto"/>
            <w:left w:val="none" w:sz="0" w:space="0" w:color="auto"/>
            <w:bottom w:val="none" w:sz="0" w:space="0" w:color="auto"/>
            <w:right w:val="none" w:sz="0" w:space="0" w:color="auto"/>
          </w:divBdr>
        </w:div>
        <w:div w:id="283509193">
          <w:marLeft w:val="0"/>
          <w:marRight w:val="0"/>
          <w:marTop w:val="0"/>
          <w:marBottom w:val="0"/>
          <w:divBdr>
            <w:top w:val="none" w:sz="0" w:space="0" w:color="auto"/>
            <w:left w:val="none" w:sz="0" w:space="0" w:color="auto"/>
            <w:bottom w:val="none" w:sz="0" w:space="0" w:color="auto"/>
            <w:right w:val="none" w:sz="0" w:space="0" w:color="auto"/>
          </w:divBdr>
        </w:div>
        <w:div w:id="274361684">
          <w:marLeft w:val="0"/>
          <w:marRight w:val="0"/>
          <w:marTop w:val="0"/>
          <w:marBottom w:val="0"/>
          <w:divBdr>
            <w:top w:val="none" w:sz="0" w:space="0" w:color="auto"/>
            <w:left w:val="none" w:sz="0" w:space="0" w:color="auto"/>
            <w:bottom w:val="none" w:sz="0" w:space="0" w:color="auto"/>
            <w:right w:val="none" w:sz="0" w:space="0" w:color="auto"/>
          </w:divBdr>
        </w:div>
        <w:div w:id="1459227692">
          <w:marLeft w:val="0"/>
          <w:marRight w:val="0"/>
          <w:marTop w:val="0"/>
          <w:marBottom w:val="0"/>
          <w:divBdr>
            <w:top w:val="none" w:sz="0" w:space="0" w:color="auto"/>
            <w:left w:val="none" w:sz="0" w:space="0" w:color="auto"/>
            <w:bottom w:val="none" w:sz="0" w:space="0" w:color="auto"/>
            <w:right w:val="none" w:sz="0" w:space="0" w:color="auto"/>
          </w:divBdr>
        </w:div>
        <w:div w:id="276914378">
          <w:marLeft w:val="0"/>
          <w:marRight w:val="0"/>
          <w:marTop w:val="0"/>
          <w:marBottom w:val="0"/>
          <w:divBdr>
            <w:top w:val="none" w:sz="0" w:space="0" w:color="auto"/>
            <w:left w:val="none" w:sz="0" w:space="0" w:color="auto"/>
            <w:bottom w:val="none" w:sz="0" w:space="0" w:color="auto"/>
            <w:right w:val="none" w:sz="0" w:space="0" w:color="auto"/>
          </w:divBdr>
        </w:div>
        <w:div w:id="1264074635">
          <w:marLeft w:val="0"/>
          <w:marRight w:val="0"/>
          <w:marTop w:val="0"/>
          <w:marBottom w:val="0"/>
          <w:divBdr>
            <w:top w:val="none" w:sz="0" w:space="0" w:color="auto"/>
            <w:left w:val="none" w:sz="0" w:space="0" w:color="auto"/>
            <w:bottom w:val="none" w:sz="0" w:space="0" w:color="auto"/>
            <w:right w:val="none" w:sz="0" w:space="0" w:color="auto"/>
          </w:divBdr>
        </w:div>
        <w:div w:id="1626082728">
          <w:marLeft w:val="0"/>
          <w:marRight w:val="0"/>
          <w:marTop w:val="0"/>
          <w:marBottom w:val="0"/>
          <w:divBdr>
            <w:top w:val="none" w:sz="0" w:space="0" w:color="auto"/>
            <w:left w:val="none" w:sz="0" w:space="0" w:color="auto"/>
            <w:bottom w:val="none" w:sz="0" w:space="0" w:color="auto"/>
            <w:right w:val="none" w:sz="0" w:space="0" w:color="auto"/>
          </w:divBdr>
        </w:div>
        <w:div w:id="1648437373">
          <w:marLeft w:val="0"/>
          <w:marRight w:val="0"/>
          <w:marTop w:val="0"/>
          <w:marBottom w:val="0"/>
          <w:divBdr>
            <w:top w:val="none" w:sz="0" w:space="0" w:color="auto"/>
            <w:left w:val="none" w:sz="0" w:space="0" w:color="auto"/>
            <w:bottom w:val="none" w:sz="0" w:space="0" w:color="auto"/>
            <w:right w:val="none" w:sz="0" w:space="0" w:color="auto"/>
          </w:divBdr>
        </w:div>
        <w:div w:id="1662810744">
          <w:marLeft w:val="0"/>
          <w:marRight w:val="0"/>
          <w:marTop w:val="0"/>
          <w:marBottom w:val="0"/>
          <w:divBdr>
            <w:top w:val="none" w:sz="0" w:space="0" w:color="auto"/>
            <w:left w:val="none" w:sz="0" w:space="0" w:color="auto"/>
            <w:bottom w:val="none" w:sz="0" w:space="0" w:color="auto"/>
            <w:right w:val="none" w:sz="0" w:space="0" w:color="auto"/>
          </w:divBdr>
        </w:div>
        <w:div w:id="1989089893">
          <w:marLeft w:val="0"/>
          <w:marRight w:val="0"/>
          <w:marTop w:val="0"/>
          <w:marBottom w:val="0"/>
          <w:divBdr>
            <w:top w:val="none" w:sz="0" w:space="0" w:color="auto"/>
            <w:left w:val="none" w:sz="0" w:space="0" w:color="auto"/>
            <w:bottom w:val="none" w:sz="0" w:space="0" w:color="auto"/>
            <w:right w:val="none" w:sz="0" w:space="0" w:color="auto"/>
          </w:divBdr>
        </w:div>
        <w:div w:id="916944057">
          <w:marLeft w:val="0"/>
          <w:marRight w:val="0"/>
          <w:marTop w:val="0"/>
          <w:marBottom w:val="0"/>
          <w:divBdr>
            <w:top w:val="none" w:sz="0" w:space="0" w:color="auto"/>
            <w:left w:val="none" w:sz="0" w:space="0" w:color="auto"/>
            <w:bottom w:val="none" w:sz="0" w:space="0" w:color="auto"/>
            <w:right w:val="none" w:sz="0" w:space="0" w:color="auto"/>
          </w:divBdr>
        </w:div>
        <w:div w:id="154809685">
          <w:marLeft w:val="0"/>
          <w:marRight w:val="0"/>
          <w:marTop w:val="0"/>
          <w:marBottom w:val="0"/>
          <w:divBdr>
            <w:top w:val="none" w:sz="0" w:space="0" w:color="auto"/>
            <w:left w:val="none" w:sz="0" w:space="0" w:color="auto"/>
            <w:bottom w:val="none" w:sz="0" w:space="0" w:color="auto"/>
            <w:right w:val="none" w:sz="0" w:space="0" w:color="auto"/>
          </w:divBdr>
        </w:div>
        <w:div w:id="103154619">
          <w:marLeft w:val="0"/>
          <w:marRight w:val="0"/>
          <w:marTop w:val="0"/>
          <w:marBottom w:val="0"/>
          <w:divBdr>
            <w:top w:val="none" w:sz="0" w:space="0" w:color="auto"/>
            <w:left w:val="none" w:sz="0" w:space="0" w:color="auto"/>
            <w:bottom w:val="none" w:sz="0" w:space="0" w:color="auto"/>
            <w:right w:val="none" w:sz="0" w:space="0" w:color="auto"/>
          </w:divBdr>
        </w:div>
        <w:div w:id="407701078">
          <w:marLeft w:val="0"/>
          <w:marRight w:val="0"/>
          <w:marTop w:val="0"/>
          <w:marBottom w:val="0"/>
          <w:divBdr>
            <w:top w:val="none" w:sz="0" w:space="0" w:color="auto"/>
            <w:left w:val="none" w:sz="0" w:space="0" w:color="auto"/>
            <w:bottom w:val="none" w:sz="0" w:space="0" w:color="auto"/>
            <w:right w:val="none" w:sz="0" w:space="0" w:color="auto"/>
          </w:divBdr>
        </w:div>
        <w:div w:id="374505125">
          <w:marLeft w:val="0"/>
          <w:marRight w:val="0"/>
          <w:marTop w:val="0"/>
          <w:marBottom w:val="0"/>
          <w:divBdr>
            <w:top w:val="none" w:sz="0" w:space="0" w:color="auto"/>
            <w:left w:val="none" w:sz="0" w:space="0" w:color="auto"/>
            <w:bottom w:val="none" w:sz="0" w:space="0" w:color="auto"/>
            <w:right w:val="none" w:sz="0" w:space="0" w:color="auto"/>
          </w:divBdr>
        </w:div>
        <w:div w:id="1070930967">
          <w:marLeft w:val="0"/>
          <w:marRight w:val="0"/>
          <w:marTop w:val="0"/>
          <w:marBottom w:val="0"/>
          <w:divBdr>
            <w:top w:val="none" w:sz="0" w:space="0" w:color="auto"/>
            <w:left w:val="none" w:sz="0" w:space="0" w:color="auto"/>
            <w:bottom w:val="none" w:sz="0" w:space="0" w:color="auto"/>
            <w:right w:val="none" w:sz="0" w:space="0" w:color="auto"/>
          </w:divBdr>
        </w:div>
        <w:div w:id="1025785025">
          <w:marLeft w:val="0"/>
          <w:marRight w:val="0"/>
          <w:marTop w:val="0"/>
          <w:marBottom w:val="0"/>
          <w:divBdr>
            <w:top w:val="none" w:sz="0" w:space="0" w:color="auto"/>
            <w:left w:val="none" w:sz="0" w:space="0" w:color="auto"/>
            <w:bottom w:val="none" w:sz="0" w:space="0" w:color="auto"/>
            <w:right w:val="none" w:sz="0" w:space="0" w:color="auto"/>
          </w:divBdr>
        </w:div>
        <w:div w:id="1268731025">
          <w:marLeft w:val="0"/>
          <w:marRight w:val="0"/>
          <w:marTop w:val="0"/>
          <w:marBottom w:val="0"/>
          <w:divBdr>
            <w:top w:val="none" w:sz="0" w:space="0" w:color="auto"/>
            <w:left w:val="none" w:sz="0" w:space="0" w:color="auto"/>
            <w:bottom w:val="none" w:sz="0" w:space="0" w:color="auto"/>
            <w:right w:val="none" w:sz="0" w:space="0" w:color="auto"/>
          </w:divBdr>
        </w:div>
        <w:div w:id="1908690487">
          <w:marLeft w:val="0"/>
          <w:marRight w:val="0"/>
          <w:marTop w:val="0"/>
          <w:marBottom w:val="0"/>
          <w:divBdr>
            <w:top w:val="none" w:sz="0" w:space="0" w:color="auto"/>
            <w:left w:val="none" w:sz="0" w:space="0" w:color="auto"/>
            <w:bottom w:val="none" w:sz="0" w:space="0" w:color="auto"/>
            <w:right w:val="none" w:sz="0" w:space="0" w:color="auto"/>
          </w:divBdr>
        </w:div>
        <w:div w:id="650839750">
          <w:marLeft w:val="0"/>
          <w:marRight w:val="0"/>
          <w:marTop w:val="0"/>
          <w:marBottom w:val="0"/>
          <w:divBdr>
            <w:top w:val="none" w:sz="0" w:space="0" w:color="auto"/>
            <w:left w:val="none" w:sz="0" w:space="0" w:color="auto"/>
            <w:bottom w:val="none" w:sz="0" w:space="0" w:color="auto"/>
            <w:right w:val="none" w:sz="0" w:space="0" w:color="auto"/>
          </w:divBdr>
        </w:div>
        <w:div w:id="1794251935">
          <w:marLeft w:val="0"/>
          <w:marRight w:val="0"/>
          <w:marTop w:val="0"/>
          <w:marBottom w:val="0"/>
          <w:divBdr>
            <w:top w:val="none" w:sz="0" w:space="0" w:color="auto"/>
            <w:left w:val="none" w:sz="0" w:space="0" w:color="auto"/>
            <w:bottom w:val="none" w:sz="0" w:space="0" w:color="auto"/>
            <w:right w:val="none" w:sz="0" w:space="0" w:color="auto"/>
          </w:divBdr>
        </w:div>
        <w:div w:id="456800909">
          <w:marLeft w:val="0"/>
          <w:marRight w:val="0"/>
          <w:marTop w:val="0"/>
          <w:marBottom w:val="0"/>
          <w:divBdr>
            <w:top w:val="none" w:sz="0" w:space="0" w:color="auto"/>
            <w:left w:val="none" w:sz="0" w:space="0" w:color="auto"/>
            <w:bottom w:val="none" w:sz="0" w:space="0" w:color="auto"/>
            <w:right w:val="none" w:sz="0" w:space="0" w:color="auto"/>
          </w:divBdr>
        </w:div>
        <w:div w:id="1148011572">
          <w:marLeft w:val="0"/>
          <w:marRight w:val="0"/>
          <w:marTop w:val="0"/>
          <w:marBottom w:val="0"/>
          <w:divBdr>
            <w:top w:val="none" w:sz="0" w:space="0" w:color="auto"/>
            <w:left w:val="none" w:sz="0" w:space="0" w:color="auto"/>
            <w:bottom w:val="none" w:sz="0" w:space="0" w:color="auto"/>
            <w:right w:val="none" w:sz="0" w:space="0" w:color="auto"/>
          </w:divBdr>
        </w:div>
        <w:div w:id="227614761">
          <w:marLeft w:val="0"/>
          <w:marRight w:val="0"/>
          <w:marTop w:val="0"/>
          <w:marBottom w:val="0"/>
          <w:divBdr>
            <w:top w:val="none" w:sz="0" w:space="0" w:color="auto"/>
            <w:left w:val="none" w:sz="0" w:space="0" w:color="auto"/>
            <w:bottom w:val="none" w:sz="0" w:space="0" w:color="auto"/>
            <w:right w:val="none" w:sz="0" w:space="0" w:color="auto"/>
          </w:divBdr>
        </w:div>
        <w:div w:id="1469131309">
          <w:marLeft w:val="0"/>
          <w:marRight w:val="0"/>
          <w:marTop w:val="0"/>
          <w:marBottom w:val="0"/>
          <w:divBdr>
            <w:top w:val="none" w:sz="0" w:space="0" w:color="auto"/>
            <w:left w:val="none" w:sz="0" w:space="0" w:color="auto"/>
            <w:bottom w:val="none" w:sz="0" w:space="0" w:color="auto"/>
            <w:right w:val="none" w:sz="0" w:space="0" w:color="auto"/>
          </w:divBdr>
        </w:div>
        <w:div w:id="484203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1031</Words>
  <Characters>5878</Characters>
  <Application>Microsoft Office Word</Application>
  <DocSecurity>0</DocSecurity>
  <Lines>48</Lines>
  <Paragraphs>13</Paragraphs>
  <ScaleCrop>false</ScaleCrop>
  <Company>微软中国</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6</cp:revision>
  <dcterms:created xsi:type="dcterms:W3CDTF">2018-10-25T02:36:00Z</dcterms:created>
  <dcterms:modified xsi:type="dcterms:W3CDTF">2018-10-25T03:18:00Z</dcterms:modified>
</cp:coreProperties>
</file>