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E9425C" w:rsidRPr="00E9425C" w:rsidTr="00E9425C">
        <w:trPr>
          <w:trHeight w:val="520"/>
          <w:tblCellSpacing w:w="0" w:type="dxa"/>
        </w:trPr>
        <w:tc>
          <w:tcPr>
            <w:tcW w:w="0" w:type="auto"/>
            <w:vAlign w:val="center"/>
            <w:hideMark/>
          </w:tcPr>
          <w:p w:rsidR="00E9425C" w:rsidRPr="00E9425C" w:rsidRDefault="00E9425C" w:rsidP="00E9425C">
            <w:pPr>
              <w:widowControl/>
              <w:jc w:val="center"/>
              <w:rPr>
                <w:rFonts w:ascii="Simsun" w:eastAsia="宋体" w:hAnsi="Simsun" w:cs="宋体"/>
                <w:color w:val="000000"/>
                <w:kern w:val="0"/>
                <w:sz w:val="27"/>
                <w:szCs w:val="27"/>
              </w:rPr>
            </w:pPr>
            <w:bookmarkStart w:id="0" w:name="_GoBack"/>
            <w:r w:rsidRPr="00E9425C">
              <w:rPr>
                <w:rFonts w:ascii="Simsun" w:eastAsia="宋体" w:hAnsi="Simsun" w:cs="宋体"/>
                <w:b/>
                <w:bCs/>
                <w:color w:val="D30100"/>
                <w:kern w:val="0"/>
                <w:sz w:val="36"/>
                <w:szCs w:val="36"/>
              </w:rPr>
              <w:t>《关于促进安源区招商引资的扶持政策》</w:t>
            </w:r>
            <w:bookmarkEnd w:id="0"/>
          </w:p>
        </w:tc>
      </w:tr>
      <w:tr w:rsidR="00E9425C" w:rsidRPr="00E9425C" w:rsidTr="00E9425C">
        <w:trPr>
          <w:tblCellSpacing w:w="0" w:type="dxa"/>
        </w:trPr>
        <w:tc>
          <w:tcPr>
            <w:tcW w:w="0" w:type="auto"/>
            <w:vAlign w:val="center"/>
            <w:hideMark/>
          </w:tcPr>
          <w:p w:rsidR="00E9425C" w:rsidRPr="00E9425C" w:rsidRDefault="00E9425C" w:rsidP="00E9425C">
            <w:pPr>
              <w:widowControl/>
              <w:jc w:val="left"/>
              <w:rPr>
                <w:rFonts w:ascii="Simsun" w:eastAsia="宋体" w:hAnsi="Simsun" w:cs="宋体"/>
                <w:color w:val="000000"/>
                <w:kern w:val="0"/>
                <w:sz w:val="27"/>
                <w:szCs w:val="27"/>
              </w:rPr>
            </w:pPr>
            <w:r w:rsidRPr="00E9425C">
              <w:rPr>
                <w:rFonts w:ascii="Simsun" w:eastAsia="宋体" w:hAnsi="Simsun" w:cs="宋体" w:hint="eastAsia"/>
                <w:noProof/>
                <w:color w:val="000000"/>
                <w:kern w:val="0"/>
                <w:sz w:val="27"/>
                <w:szCs w:val="27"/>
              </w:rPr>
              <w:drawing>
                <wp:inline distT="0" distB="0" distL="0" distR="0">
                  <wp:extent cx="9505950" cy="57150"/>
                  <wp:effectExtent l="0" t="0" r="0" b="0"/>
                  <wp:docPr id="3" name="图片 3" descr="http://xxgk.pingxiang.gov.cn/ayq/images/xl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pingxiang.gov.cn/ayq/images/xl_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05950" cy="57150"/>
                          </a:xfrm>
                          <a:prstGeom prst="rect">
                            <a:avLst/>
                          </a:prstGeom>
                          <a:noFill/>
                          <a:ln>
                            <a:noFill/>
                          </a:ln>
                        </pic:spPr>
                      </pic:pic>
                    </a:graphicData>
                  </a:graphic>
                </wp:inline>
              </w:drawing>
            </w:r>
          </w:p>
        </w:tc>
      </w:tr>
      <w:tr w:rsidR="00E9425C" w:rsidRPr="00E9425C" w:rsidTr="00E9425C">
        <w:trPr>
          <w:trHeight w:val="710"/>
          <w:tblCellSpacing w:w="0" w:type="dxa"/>
        </w:trPr>
        <w:tc>
          <w:tcPr>
            <w:tcW w:w="0" w:type="auto"/>
            <w:vAlign w:val="center"/>
            <w:hideMark/>
          </w:tcPr>
          <w:tbl>
            <w:tblPr>
              <w:tblW w:w="3150" w:type="pct"/>
              <w:jc w:val="center"/>
              <w:tblCellSpacing w:w="0" w:type="dxa"/>
              <w:tblCellMar>
                <w:left w:w="0" w:type="dxa"/>
                <w:right w:w="0" w:type="dxa"/>
              </w:tblCellMar>
              <w:tblLook w:val="04A0" w:firstRow="1" w:lastRow="0" w:firstColumn="1" w:lastColumn="0" w:noHBand="0" w:noVBand="1"/>
            </w:tblPr>
            <w:tblGrid>
              <w:gridCol w:w="2093"/>
              <w:gridCol w:w="1570"/>
              <w:gridCol w:w="1570"/>
            </w:tblGrid>
            <w:tr w:rsidR="00E9425C" w:rsidRPr="00E9425C">
              <w:trPr>
                <w:tblCellSpacing w:w="0" w:type="dxa"/>
                <w:jc w:val="center"/>
              </w:trPr>
              <w:tc>
                <w:tcPr>
                  <w:tcW w:w="2000" w:type="pct"/>
                  <w:vAlign w:val="center"/>
                  <w:hideMark/>
                </w:tcPr>
                <w:p w:rsidR="00E9425C" w:rsidRPr="00E9425C" w:rsidRDefault="00E9425C" w:rsidP="00E9425C">
                  <w:pPr>
                    <w:widowControl/>
                    <w:jc w:val="left"/>
                    <w:rPr>
                      <w:rFonts w:ascii="宋体" w:eastAsia="宋体" w:hAnsi="宋体" w:cs="宋体"/>
                      <w:color w:val="333333"/>
                      <w:kern w:val="0"/>
                      <w:sz w:val="18"/>
                      <w:szCs w:val="18"/>
                    </w:rPr>
                  </w:pPr>
                  <w:r w:rsidRPr="00E9425C">
                    <w:rPr>
                      <w:rFonts w:ascii="宋体" w:eastAsia="宋体" w:hAnsi="宋体" w:cs="宋体"/>
                      <w:color w:val="333333"/>
                      <w:kern w:val="0"/>
                      <w:sz w:val="18"/>
                      <w:szCs w:val="18"/>
                    </w:rPr>
                    <w:t>责任部门： 安源区商务局</w:t>
                  </w:r>
                </w:p>
              </w:tc>
              <w:tc>
                <w:tcPr>
                  <w:tcW w:w="1500" w:type="pct"/>
                  <w:vAlign w:val="center"/>
                  <w:hideMark/>
                </w:tcPr>
                <w:p w:rsidR="00E9425C" w:rsidRPr="00E9425C" w:rsidRDefault="00E9425C" w:rsidP="00E9425C">
                  <w:pPr>
                    <w:widowControl/>
                    <w:jc w:val="left"/>
                    <w:rPr>
                      <w:rFonts w:ascii="宋体" w:eastAsia="宋体" w:hAnsi="宋体" w:cs="宋体"/>
                      <w:color w:val="333333"/>
                      <w:kern w:val="0"/>
                      <w:sz w:val="18"/>
                      <w:szCs w:val="18"/>
                    </w:rPr>
                  </w:pPr>
                  <w:r w:rsidRPr="00E9425C">
                    <w:rPr>
                      <w:rFonts w:ascii="宋体" w:eastAsia="宋体" w:hAnsi="宋体" w:cs="宋体"/>
                      <w:color w:val="333333"/>
                      <w:kern w:val="0"/>
                      <w:sz w:val="18"/>
                      <w:szCs w:val="18"/>
                    </w:rPr>
                    <w:t>生成日期： 2018-02-28</w:t>
                  </w:r>
                </w:p>
              </w:tc>
              <w:tc>
                <w:tcPr>
                  <w:tcW w:w="1500" w:type="pct"/>
                  <w:vAlign w:val="center"/>
                  <w:hideMark/>
                </w:tcPr>
                <w:p w:rsidR="00E9425C" w:rsidRPr="00E9425C" w:rsidRDefault="00E9425C" w:rsidP="00E9425C">
                  <w:pPr>
                    <w:widowControl/>
                    <w:jc w:val="left"/>
                    <w:rPr>
                      <w:rFonts w:ascii="宋体" w:eastAsia="宋体" w:hAnsi="宋体" w:cs="宋体"/>
                      <w:color w:val="333333"/>
                      <w:kern w:val="0"/>
                      <w:sz w:val="18"/>
                      <w:szCs w:val="18"/>
                    </w:rPr>
                  </w:pPr>
                  <w:r w:rsidRPr="00E9425C">
                    <w:rPr>
                      <w:rFonts w:ascii="宋体" w:eastAsia="宋体" w:hAnsi="宋体" w:cs="宋体"/>
                      <w:color w:val="333333"/>
                      <w:kern w:val="0"/>
                      <w:sz w:val="18"/>
                      <w:szCs w:val="18"/>
                    </w:rPr>
                    <w:t>公开方式： 主动公开</w:t>
                  </w:r>
                </w:p>
              </w:tc>
            </w:tr>
            <w:tr w:rsidR="00E9425C" w:rsidRPr="00E9425C">
              <w:trPr>
                <w:tblCellSpacing w:w="0" w:type="dxa"/>
                <w:jc w:val="center"/>
              </w:trPr>
              <w:tc>
                <w:tcPr>
                  <w:tcW w:w="0" w:type="auto"/>
                  <w:vAlign w:val="center"/>
                  <w:hideMark/>
                </w:tcPr>
                <w:p w:rsidR="00E9425C" w:rsidRPr="00E9425C" w:rsidRDefault="00E9425C" w:rsidP="00E9425C">
                  <w:pPr>
                    <w:widowControl/>
                    <w:jc w:val="left"/>
                    <w:rPr>
                      <w:rFonts w:ascii="宋体" w:eastAsia="宋体" w:hAnsi="宋体" w:cs="宋体"/>
                      <w:color w:val="333333"/>
                      <w:kern w:val="0"/>
                      <w:sz w:val="18"/>
                      <w:szCs w:val="18"/>
                    </w:rPr>
                  </w:pPr>
                  <w:r w:rsidRPr="00E9425C">
                    <w:rPr>
                      <w:rFonts w:ascii="宋体" w:eastAsia="宋体" w:hAnsi="宋体" w:cs="宋体"/>
                      <w:color w:val="333333"/>
                      <w:kern w:val="0"/>
                      <w:sz w:val="18"/>
                      <w:szCs w:val="18"/>
                    </w:rPr>
                    <w:t>信息索取号： J23220-02-2018-0001</w:t>
                  </w:r>
                </w:p>
              </w:tc>
              <w:tc>
                <w:tcPr>
                  <w:tcW w:w="0" w:type="auto"/>
                  <w:vAlign w:val="center"/>
                  <w:hideMark/>
                </w:tcPr>
                <w:p w:rsidR="00E9425C" w:rsidRPr="00E9425C" w:rsidRDefault="00E9425C" w:rsidP="00E9425C">
                  <w:pPr>
                    <w:widowControl/>
                    <w:jc w:val="left"/>
                    <w:rPr>
                      <w:rFonts w:ascii="宋体" w:eastAsia="宋体" w:hAnsi="宋体" w:cs="宋体"/>
                      <w:color w:val="333333"/>
                      <w:kern w:val="0"/>
                      <w:sz w:val="18"/>
                      <w:szCs w:val="18"/>
                    </w:rPr>
                  </w:pPr>
                  <w:r w:rsidRPr="00E9425C">
                    <w:rPr>
                      <w:rFonts w:ascii="宋体" w:eastAsia="宋体" w:hAnsi="宋体" w:cs="宋体"/>
                      <w:color w:val="333333"/>
                      <w:kern w:val="0"/>
                      <w:sz w:val="18"/>
                      <w:szCs w:val="18"/>
                    </w:rPr>
                    <w:t>公开时限： 常年公开</w:t>
                  </w:r>
                </w:p>
              </w:tc>
              <w:tc>
                <w:tcPr>
                  <w:tcW w:w="0" w:type="auto"/>
                  <w:vAlign w:val="center"/>
                  <w:hideMark/>
                </w:tcPr>
                <w:p w:rsidR="00E9425C" w:rsidRPr="00E9425C" w:rsidRDefault="00E9425C" w:rsidP="00E9425C">
                  <w:pPr>
                    <w:widowControl/>
                    <w:jc w:val="left"/>
                    <w:rPr>
                      <w:rFonts w:ascii="宋体" w:eastAsia="宋体" w:hAnsi="宋体" w:cs="宋体"/>
                      <w:color w:val="333333"/>
                      <w:kern w:val="0"/>
                      <w:sz w:val="18"/>
                      <w:szCs w:val="18"/>
                    </w:rPr>
                  </w:pPr>
                  <w:r w:rsidRPr="00E9425C">
                    <w:rPr>
                      <w:rFonts w:ascii="宋体" w:eastAsia="宋体" w:hAnsi="宋体" w:cs="宋体"/>
                      <w:color w:val="333333"/>
                      <w:kern w:val="0"/>
                      <w:sz w:val="18"/>
                      <w:szCs w:val="18"/>
                    </w:rPr>
                    <w:t>文件编号:</w:t>
                  </w:r>
                </w:p>
              </w:tc>
            </w:tr>
          </w:tbl>
          <w:p w:rsidR="00E9425C" w:rsidRPr="00E9425C" w:rsidRDefault="00E9425C" w:rsidP="00E9425C">
            <w:pPr>
              <w:widowControl/>
              <w:jc w:val="center"/>
              <w:rPr>
                <w:rFonts w:ascii="Simsun" w:eastAsia="宋体" w:hAnsi="Simsun" w:cs="宋体"/>
                <w:color w:val="000000"/>
                <w:kern w:val="0"/>
                <w:sz w:val="27"/>
                <w:szCs w:val="27"/>
              </w:rPr>
            </w:pPr>
          </w:p>
        </w:tc>
      </w:tr>
      <w:tr w:rsidR="00E9425C" w:rsidRPr="00E9425C" w:rsidTr="00E9425C">
        <w:trPr>
          <w:trHeight w:val="4000"/>
          <w:tblCellSpacing w:w="0" w:type="dxa"/>
        </w:trPr>
        <w:tc>
          <w:tcPr>
            <w:tcW w:w="0" w:type="auto"/>
            <w:hideMark/>
          </w:tcPr>
          <w:tbl>
            <w:tblPr>
              <w:tblW w:w="4900" w:type="pct"/>
              <w:jc w:val="center"/>
              <w:tblCellSpacing w:w="0" w:type="dxa"/>
              <w:tblCellMar>
                <w:left w:w="0" w:type="dxa"/>
                <w:right w:w="0" w:type="dxa"/>
              </w:tblCellMar>
              <w:tblLook w:val="04A0" w:firstRow="1" w:lastRow="0" w:firstColumn="1" w:lastColumn="0" w:noHBand="0" w:noVBand="1"/>
            </w:tblPr>
            <w:tblGrid>
              <w:gridCol w:w="8306"/>
            </w:tblGrid>
            <w:tr w:rsidR="00E9425C" w:rsidRPr="00E9425C">
              <w:trPr>
                <w:trHeight w:val="4000"/>
                <w:tblCellSpacing w:w="0" w:type="dxa"/>
                <w:jc w:val="center"/>
              </w:trPr>
              <w:tc>
                <w:tcPr>
                  <w:tcW w:w="0" w:type="auto"/>
                  <w:hideMark/>
                </w:tcPr>
                <w:p w:rsidR="00E9425C" w:rsidRPr="00E9425C" w:rsidRDefault="00E9425C" w:rsidP="00E9425C">
                  <w:pPr>
                    <w:widowControl/>
                    <w:spacing w:line="600" w:lineRule="atLeast"/>
                    <w:jc w:val="center"/>
                    <w:rPr>
                      <w:rFonts w:ascii="宋体" w:eastAsia="宋体" w:hAnsi="宋体" w:cs="宋体"/>
                      <w:color w:val="4F4F4F"/>
                      <w:kern w:val="0"/>
                      <w:sz w:val="24"/>
                      <w:szCs w:val="24"/>
                    </w:rPr>
                  </w:pPr>
                  <w:r w:rsidRPr="00E9425C">
                    <w:rPr>
                      <w:rFonts w:ascii="Calibri" w:eastAsia="黑体" w:hAnsi="Calibri" w:cs="Calibri"/>
                      <w:color w:val="4F4F4F"/>
                      <w:kern w:val="0"/>
                      <w:sz w:val="48"/>
                      <w:szCs w:val="48"/>
                    </w:rPr>
                    <w:t> </w:t>
                  </w:r>
                </w:p>
                <w:p w:rsidR="00E9425C" w:rsidRPr="00E9425C" w:rsidRDefault="00E9425C" w:rsidP="00E9425C">
                  <w:pPr>
                    <w:widowControl/>
                    <w:spacing w:line="600" w:lineRule="atLeast"/>
                    <w:jc w:val="center"/>
                    <w:rPr>
                      <w:rFonts w:ascii="宋体" w:eastAsia="宋体" w:hAnsi="宋体" w:cs="宋体"/>
                      <w:color w:val="4F4F4F"/>
                      <w:kern w:val="0"/>
                      <w:sz w:val="24"/>
                      <w:szCs w:val="24"/>
                    </w:rPr>
                  </w:pPr>
                  <w:r w:rsidRPr="00E9425C">
                    <w:rPr>
                      <w:rFonts w:ascii="Calibri" w:eastAsia="黑体" w:hAnsi="Calibri" w:cs="Calibri"/>
                      <w:color w:val="4F4F4F"/>
                      <w:kern w:val="0"/>
                      <w:sz w:val="48"/>
                      <w:szCs w:val="48"/>
                    </w:rPr>
                    <w:t> </w:t>
                  </w:r>
                </w:p>
                <w:p w:rsidR="00E9425C" w:rsidRPr="00E9425C" w:rsidRDefault="00E9425C" w:rsidP="00E9425C">
                  <w:pPr>
                    <w:widowControl/>
                    <w:spacing w:line="600" w:lineRule="atLeast"/>
                    <w:jc w:val="center"/>
                    <w:rPr>
                      <w:rFonts w:ascii="宋体" w:eastAsia="宋体" w:hAnsi="宋体" w:cs="宋体"/>
                      <w:color w:val="4F4F4F"/>
                      <w:kern w:val="0"/>
                      <w:sz w:val="24"/>
                      <w:szCs w:val="24"/>
                    </w:rPr>
                  </w:pPr>
                  <w:r w:rsidRPr="00E9425C">
                    <w:rPr>
                      <w:rFonts w:ascii="Calibri" w:eastAsia="黑体" w:hAnsi="Calibri" w:cs="Calibri"/>
                      <w:color w:val="4F4F4F"/>
                      <w:kern w:val="0"/>
                      <w:sz w:val="48"/>
                      <w:szCs w:val="48"/>
                    </w:rPr>
                    <w:t> </w:t>
                  </w:r>
                </w:p>
                <w:p w:rsidR="00E9425C" w:rsidRPr="00E9425C" w:rsidRDefault="00E9425C" w:rsidP="00E9425C">
                  <w:pPr>
                    <w:widowControl/>
                    <w:spacing w:line="600" w:lineRule="atLeast"/>
                    <w:jc w:val="center"/>
                    <w:rPr>
                      <w:rFonts w:ascii="宋体" w:eastAsia="宋体" w:hAnsi="宋体" w:cs="宋体"/>
                      <w:color w:val="4F4F4F"/>
                      <w:kern w:val="0"/>
                      <w:sz w:val="24"/>
                      <w:szCs w:val="24"/>
                    </w:rPr>
                  </w:pPr>
                  <w:r w:rsidRPr="00E9425C">
                    <w:rPr>
                      <w:rFonts w:ascii="Calibri" w:eastAsia="黑体" w:hAnsi="Calibri" w:cs="Calibri"/>
                      <w:color w:val="4F4F4F"/>
                      <w:kern w:val="0"/>
                      <w:sz w:val="48"/>
                      <w:szCs w:val="48"/>
                    </w:rPr>
                    <w:t> </w:t>
                  </w:r>
                </w:p>
                <w:p w:rsidR="00E9425C" w:rsidRPr="00E9425C" w:rsidRDefault="00E9425C" w:rsidP="00E9425C">
                  <w:pPr>
                    <w:widowControl/>
                    <w:spacing w:line="600" w:lineRule="atLeast"/>
                    <w:ind w:firstLine="330"/>
                    <w:jc w:val="left"/>
                    <w:rPr>
                      <w:rFonts w:ascii="宋体" w:eastAsia="宋体" w:hAnsi="宋体" w:cs="宋体"/>
                      <w:color w:val="4F4F4F"/>
                      <w:kern w:val="0"/>
                      <w:sz w:val="24"/>
                      <w:szCs w:val="24"/>
                    </w:rPr>
                  </w:pPr>
                  <w:r w:rsidRPr="00E9425C">
                    <w:rPr>
                      <w:rFonts w:ascii="仿宋_GB2312" w:eastAsia="仿宋_GB2312" w:hAnsi="宋体" w:cs="宋体" w:hint="eastAsia"/>
                      <w:color w:val="4F4F4F"/>
                      <w:kern w:val="0"/>
                      <w:sz w:val="36"/>
                      <w:szCs w:val="36"/>
                    </w:rPr>
                    <w:t> </w:t>
                  </w:r>
                </w:p>
                <w:p w:rsidR="00E9425C" w:rsidRPr="00E9425C" w:rsidRDefault="00E9425C" w:rsidP="00E9425C">
                  <w:pPr>
                    <w:widowControl/>
                    <w:spacing w:line="375" w:lineRule="atLeast"/>
                    <w:ind w:firstLine="330"/>
                    <w:jc w:val="center"/>
                    <w:rPr>
                      <w:rFonts w:ascii="宋体" w:eastAsia="宋体" w:hAnsi="宋体" w:cs="宋体"/>
                      <w:color w:val="4F4F4F"/>
                      <w:kern w:val="0"/>
                      <w:sz w:val="24"/>
                      <w:szCs w:val="24"/>
                    </w:rPr>
                  </w:pPr>
                  <w:r w:rsidRPr="00E9425C">
                    <w:rPr>
                      <w:rFonts w:ascii="仿宋_GB2312" w:eastAsia="仿宋_GB2312" w:hAnsi="宋体" w:cs="宋体" w:hint="eastAsia"/>
                      <w:color w:val="4F4F4F"/>
                      <w:kern w:val="0"/>
                      <w:sz w:val="32"/>
                      <w:szCs w:val="32"/>
                    </w:rPr>
                    <w:t>安发〔2017〕12号</w:t>
                  </w:r>
                </w:p>
                <w:p w:rsidR="00E9425C" w:rsidRPr="00E9425C" w:rsidRDefault="00E9425C" w:rsidP="00E9425C">
                  <w:pPr>
                    <w:widowControl/>
                    <w:spacing w:line="560" w:lineRule="atLeast"/>
                    <w:ind w:firstLine="330"/>
                    <w:jc w:val="center"/>
                    <w:rPr>
                      <w:rFonts w:ascii="宋体" w:eastAsia="宋体" w:hAnsi="宋体" w:cs="宋体"/>
                      <w:color w:val="4F4F4F"/>
                      <w:kern w:val="0"/>
                      <w:sz w:val="24"/>
                      <w:szCs w:val="24"/>
                    </w:rPr>
                  </w:pPr>
                  <w:r w:rsidRPr="00E9425C">
                    <w:rPr>
                      <w:rFonts w:ascii="仿宋_GB2312" w:eastAsia="仿宋_GB2312" w:hAnsi="宋体" w:cs="宋体" w:hint="eastAsia"/>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宋体" w:eastAsia="宋体" w:hAnsi="宋体" w:cs="宋体" w:hint="eastAsia"/>
                      <w:b/>
                      <w:bCs/>
                      <w:color w:val="4F4F4F"/>
                      <w:kern w:val="0"/>
                      <w:sz w:val="48"/>
                      <w:szCs w:val="48"/>
                    </w:rPr>
                    <w:t> </w:t>
                  </w:r>
                </w:p>
                <w:p w:rsidR="00E9425C" w:rsidRPr="00E9425C" w:rsidRDefault="00E9425C" w:rsidP="00E9425C">
                  <w:pPr>
                    <w:widowControl/>
                    <w:spacing w:line="560" w:lineRule="atLeast"/>
                    <w:jc w:val="center"/>
                    <w:rPr>
                      <w:rFonts w:ascii="宋体" w:eastAsia="宋体" w:hAnsi="宋体" w:cs="宋体"/>
                      <w:color w:val="4F4F4F"/>
                      <w:kern w:val="0"/>
                      <w:sz w:val="24"/>
                      <w:szCs w:val="24"/>
                    </w:rPr>
                  </w:pPr>
                  <w:r w:rsidRPr="00E9425C">
                    <w:rPr>
                      <w:rFonts w:ascii="宋体" w:eastAsia="宋体" w:hAnsi="宋体" w:cs="宋体" w:hint="eastAsia"/>
                      <w:b/>
                      <w:bCs/>
                      <w:color w:val="4F4F4F"/>
                      <w:kern w:val="0"/>
                      <w:sz w:val="44"/>
                      <w:szCs w:val="44"/>
                    </w:rPr>
                    <w:t>中共安源区委　安源区人民政府</w:t>
                  </w:r>
                </w:p>
                <w:p w:rsidR="00E9425C" w:rsidRPr="00E9425C" w:rsidRDefault="00E9425C" w:rsidP="00E9425C">
                  <w:pPr>
                    <w:widowControl/>
                    <w:spacing w:line="560" w:lineRule="atLeast"/>
                    <w:jc w:val="center"/>
                    <w:rPr>
                      <w:rFonts w:ascii="宋体" w:eastAsia="宋体" w:hAnsi="宋体" w:cs="宋体"/>
                      <w:color w:val="4F4F4F"/>
                      <w:kern w:val="0"/>
                      <w:szCs w:val="21"/>
                    </w:rPr>
                  </w:pPr>
                  <w:r w:rsidRPr="00E9425C">
                    <w:rPr>
                      <w:rFonts w:ascii="宋体" w:eastAsia="宋体" w:hAnsi="宋体" w:cs="宋体"/>
                      <w:b/>
                      <w:bCs/>
                      <w:color w:val="4F4F4F"/>
                      <w:kern w:val="0"/>
                      <w:sz w:val="44"/>
                      <w:szCs w:val="44"/>
                    </w:rPr>
                    <w:t>印发《关于促进安源区招商引资的扶持政策》的通知</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楷体_GB2312" w:eastAsia="楷体_GB2312" w:hAnsi="宋体" w:cs="宋体" w:hint="eastAsia"/>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宋体" w:eastAsia="宋体" w:hAnsi="宋体" w:cs="宋体" w:hint="eastAsia"/>
                      <w:color w:val="4F4F4F"/>
                      <w:kern w:val="0"/>
                      <w:sz w:val="32"/>
                      <w:szCs w:val="32"/>
                    </w:rPr>
                    <w:t>各镇街、城郊党委，各镇人民政府、街道办事处、城郊管委会，区委各部门、区直各单位，驻区有关单位：</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4F4F4F"/>
                      <w:kern w:val="0"/>
                      <w:sz w:val="32"/>
                      <w:szCs w:val="32"/>
                    </w:rPr>
                    <w:t>《关于促进安源区招商引资的扶持政策》已经区委、区政府研究同意，现印发给你们，请结合实际认真贯彻执行。</w:t>
                  </w:r>
                </w:p>
                <w:p w:rsidR="00E9425C" w:rsidRPr="00E9425C" w:rsidRDefault="00E9425C" w:rsidP="00E9425C">
                  <w:pPr>
                    <w:widowControl/>
                    <w:spacing w:line="540" w:lineRule="atLeast"/>
                    <w:ind w:firstLine="400"/>
                    <w:jc w:val="left"/>
                    <w:rPr>
                      <w:rFonts w:ascii="宋体" w:eastAsia="宋体" w:hAnsi="宋体" w:cs="宋体"/>
                      <w:color w:val="4F4F4F"/>
                      <w:kern w:val="0"/>
                      <w:sz w:val="24"/>
                      <w:szCs w:val="24"/>
                    </w:rPr>
                  </w:pPr>
                  <w:r w:rsidRPr="00E9425C">
                    <w:rPr>
                      <w:rFonts w:ascii="楷体_GB2312" w:eastAsia="楷体_GB2312" w:hAnsi="宋体" w:cs="宋体" w:hint="eastAsia"/>
                      <w:color w:val="4F4F4F"/>
                      <w:kern w:val="0"/>
                      <w:sz w:val="36"/>
                      <w:szCs w:val="36"/>
                    </w:rPr>
                    <w:t> </w:t>
                  </w:r>
                </w:p>
                <w:p w:rsidR="00E9425C" w:rsidRPr="00E9425C" w:rsidRDefault="00E9425C" w:rsidP="00E9425C">
                  <w:pPr>
                    <w:widowControl/>
                    <w:spacing w:line="540" w:lineRule="atLeast"/>
                    <w:ind w:firstLine="400"/>
                    <w:jc w:val="left"/>
                    <w:rPr>
                      <w:rFonts w:ascii="宋体" w:eastAsia="宋体" w:hAnsi="宋体" w:cs="宋体"/>
                      <w:color w:val="4F4F4F"/>
                      <w:kern w:val="0"/>
                      <w:sz w:val="24"/>
                      <w:szCs w:val="24"/>
                    </w:rPr>
                  </w:pPr>
                  <w:r w:rsidRPr="00E9425C">
                    <w:rPr>
                      <w:rFonts w:ascii="楷体_GB2312" w:eastAsia="楷体_GB2312" w:hAnsi="宋体" w:cs="宋体" w:hint="eastAsia"/>
                      <w:color w:val="4F4F4F"/>
                      <w:kern w:val="0"/>
                      <w:sz w:val="36"/>
                      <w:szCs w:val="36"/>
                    </w:rPr>
                    <w:t> </w:t>
                  </w:r>
                </w:p>
                <w:p w:rsidR="00E9425C" w:rsidRPr="00E9425C" w:rsidRDefault="00E9425C" w:rsidP="00E9425C">
                  <w:pPr>
                    <w:widowControl/>
                    <w:spacing w:line="540" w:lineRule="atLeast"/>
                    <w:ind w:firstLine="400"/>
                    <w:jc w:val="left"/>
                    <w:rPr>
                      <w:rFonts w:ascii="宋体" w:eastAsia="宋体" w:hAnsi="宋体" w:cs="宋体"/>
                      <w:color w:val="4F4F4F"/>
                      <w:kern w:val="0"/>
                      <w:sz w:val="24"/>
                      <w:szCs w:val="24"/>
                    </w:rPr>
                  </w:pPr>
                  <w:r w:rsidRPr="00E9425C">
                    <w:rPr>
                      <w:rFonts w:ascii="楷体_GB2312" w:eastAsia="楷体_GB2312" w:hAnsi="宋体" w:cs="宋体" w:hint="eastAsia"/>
                      <w:color w:val="4F4F4F"/>
                      <w:kern w:val="0"/>
                      <w:sz w:val="36"/>
                      <w:szCs w:val="36"/>
                    </w:rPr>
                    <w:lastRenderedPageBreak/>
                    <w:t> </w:t>
                  </w:r>
                </w:p>
                <w:p w:rsidR="00E9425C" w:rsidRPr="00E9425C" w:rsidRDefault="00E9425C" w:rsidP="00E9425C">
                  <w:pPr>
                    <w:widowControl/>
                    <w:spacing w:line="560" w:lineRule="atLeast"/>
                    <w:ind w:firstLine="400"/>
                    <w:jc w:val="left"/>
                    <w:rPr>
                      <w:rFonts w:ascii="宋体" w:eastAsia="宋体" w:hAnsi="宋体" w:cs="宋体"/>
                      <w:color w:val="4F4F4F"/>
                      <w:kern w:val="0"/>
                      <w:sz w:val="24"/>
                      <w:szCs w:val="24"/>
                    </w:rPr>
                  </w:pPr>
                  <w:r w:rsidRPr="00E9425C">
                    <w:rPr>
                      <w:rFonts w:ascii="微软雅黑" w:eastAsia="微软雅黑" w:hAnsi="微软雅黑" w:cs="微软雅黑" w:hint="eastAsia"/>
                      <w:color w:val="4F4F4F"/>
                      <w:kern w:val="0"/>
                      <w:sz w:val="32"/>
                      <w:szCs w:val="32"/>
                    </w:rPr>
                    <w:t xml:space="preserve">　　　　　</w:t>
                  </w:r>
                  <w:r w:rsidRPr="00E9425C">
                    <w:rPr>
                      <w:rFonts w:ascii="楷体_GB2312" w:eastAsia="楷体_GB2312" w:hAnsi="宋体" w:cs="宋体" w:hint="eastAsia"/>
                      <w:color w:val="4F4F4F"/>
                      <w:kern w:val="0"/>
                      <w:sz w:val="32"/>
                      <w:szCs w:val="32"/>
                    </w:rPr>
                    <w:t> </w:t>
                  </w:r>
                  <w:r w:rsidRPr="00E9425C">
                    <w:rPr>
                      <w:rFonts w:ascii="楷体_GB2312" w:eastAsia="楷体_GB2312" w:hAnsi="宋体" w:cs="宋体" w:hint="eastAsia"/>
                      <w:color w:val="4F4F4F"/>
                      <w:kern w:val="0"/>
                      <w:sz w:val="32"/>
                      <w:szCs w:val="32"/>
                    </w:rPr>
                    <w:t>中共安源区委</w:t>
                  </w:r>
                  <w:r w:rsidRPr="00E9425C">
                    <w:rPr>
                      <w:rFonts w:ascii="微软雅黑" w:eastAsia="微软雅黑" w:hAnsi="微软雅黑" w:cs="微软雅黑" w:hint="eastAsia"/>
                      <w:color w:val="4F4F4F"/>
                      <w:kern w:val="0"/>
                      <w:sz w:val="32"/>
                      <w:szCs w:val="32"/>
                    </w:rPr>
                    <w:t xml:space="preserve">　　</w:t>
                  </w:r>
                  <w:proofErr w:type="gramStart"/>
                  <w:r w:rsidRPr="00E9425C">
                    <w:rPr>
                      <w:rFonts w:ascii="微软雅黑" w:eastAsia="微软雅黑" w:hAnsi="微软雅黑" w:cs="微软雅黑" w:hint="eastAsia"/>
                      <w:color w:val="4F4F4F"/>
                      <w:kern w:val="0"/>
                      <w:sz w:val="32"/>
                      <w:szCs w:val="32"/>
                    </w:rPr>
                    <w:t xml:space="preserve">　</w:t>
                  </w:r>
                  <w:proofErr w:type="gramEnd"/>
                  <w:r w:rsidRPr="00E9425C">
                    <w:rPr>
                      <w:rFonts w:ascii="楷体_GB2312" w:eastAsia="楷体_GB2312" w:hAnsi="楷体_GB2312" w:cs="楷体_GB2312" w:hint="eastAsia"/>
                      <w:color w:val="4F4F4F"/>
                      <w:kern w:val="0"/>
                      <w:sz w:val="32"/>
                      <w:szCs w:val="32"/>
                    </w:rPr>
                    <w:t>安源区人民政府</w:t>
                  </w:r>
                </w:p>
                <w:p w:rsidR="00E9425C" w:rsidRPr="00E9425C" w:rsidRDefault="00E9425C" w:rsidP="00E9425C">
                  <w:pPr>
                    <w:widowControl/>
                    <w:spacing w:line="560" w:lineRule="atLeast"/>
                    <w:ind w:firstLine="20"/>
                    <w:jc w:val="left"/>
                    <w:rPr>
                      <w:rFonts w:ascii="宋体" w:eastAsia="宋体" w:hAnsi="宋体" w:cs="宋体"/>
                      <w:color w:val="4F4F4F"/>
                      <w:kern w:val="0"/>
                      <w:sz w:val="24"/>
                      <w:szCs w:val="24"/>
                    </w:rPr>
                  </w:pPr>
                  <w:r w:rsidRPr="00E9425C">
                    <w:rPr>
                      <w:rFonts w:ascii="微软雅黑" w:eastAsia="微软雅黑" w:hAnsi="微软雅黑" w:cs="微软雅黑" w:hint="eastAsia"/>
                      <w:color w:val="4F4F4F"/>
                      <w:kern w:val="0"/>
                      <w:sz w:val="32"/>
                      <w:szCs w:val="32"/>
                    </w:rPr>
                    <w:t xml:space="preserve">　　　　　　　　　　　　　　　</w:t>
                  </w:r>
                  <w:r w:rsidRPr="00E9425C">
                    <w:rPr>
                      <w:rFonts w:ascii="楷体_GB2312" w:eastAsia="楷体_GB2312" w:hAnsi="宋体" w:cs="宋体" w:hint="eastAsia"/>
                      <w:color w:val="4F4F4F"/>
                      <w:kern w:val="0"/>
                      <w:sz w:val="32"/>
                      <w:szCs w:val="32"/>
                    </w:rPr>
                    <w:t> </w:t>
                  </w:r>
                  <w:r w:rsidRPr="00E9425C">
                    <w:rPr>
                      <w:rFonts w:ascii="楷体_GB2312" w:eastAsia="楷体_GB2312" w:hAnsi="宋体" w:cs="宋体" w:hint="eastAsia"/>
                      <w:color w:val="4F4F4F"/>
                      <w:kern w:val="0"/>
                      <w:sz w:val="32"/>
                      <w:szCs w:val="32"/>
                    </w:rPr>
                    <w:t>2017年6月20日</w:t>
                  </w:r>
                </w:p>
                <w:p w:rsidR="00E9425C" w:rsidRPr="00E9425C" w:rsidRDefault="00E9425C" w:rsidP="00E9425C">
                  <w:pPr>
                    <w:widowControl/>
                    <w:spacing w:line="560" w:lineRule="atLeast"/>
                    <w:jc w:val="center"/>
                    <w:rPr>
                      <w:rFonts w:ascii="宋体" w:eastAsia="宋体" w:hAnsi="宋体" w:cs="宋体"/>
                      <w:color w:val="4F4F4F"/>
                      <w:kern w:val="0"/>
                      <w:sz w:val="24"/>
                      <w:szCs w:val="24"/>
                    </w:rPr>
                  </w:pPr>
                  <w:r w:rsidRPr="00E9425C">
                    <w:rPr>
                      <w:rFonts w:ascii="宋体" w:eastAsia="宋体" w:hAnsi="宋体" w:cs="宋体" w:hint="eastAsia"/>
                      <w:b/>
                      <w:bCs/>
                      <w:color w:val="4F4F4F"/>
                      <w:kern w:val="0"/>
                      <w:sz w:val="44"/>
                      <w:szCs w:val="44"/>
                    </w:rPr>
                    <w:t>关于促进安源区招商引资的扶持政策</w:t>
                  </w:r>
                </w:p>
                <w:p w:rsidR="00E9425C" w:rsidRPr="00E9425C" w:rsidRDefault="00E9425C" w:rsidP="00E9425C">
                  <w:pPr>
                    <w:widowControl/>
                    <w:shd w:val="clear" w:color="auto" w:fill="FFFFFF"/>
                    <w:spacing w:line="560" w:lineRule="atLeast"/>
                    <w:jc w:val="center"/>
                    <w:rPr>
                      <w:rFonts w:ascii="宋体" w:eastAsia="宋体" w:hAnsi="宋体" w:cs="宋体"/>
                      <w:color w:val="4F4F4F"/>
                      <w:kern w:val="0"/>
                      <w:szCs w:val="21"/>
                    </w:rPr>
                  </w:pPr>
                  <w:r w:rsidRPr="00E9425C">
                    <w:rPr>
                      <w:rFonts w:ascii="微软雅黑" w:eastAsia="微软雅黑" w:hAnsi="微软雅黑" w:cs="宋体" w:hint="eastAsia"/>
                      <w:color w:val="333333"/>
                      <w:kern w:val="0"/>
                      <w:szCs w:val="21"/>
                    </w:rPr>
                    <w:t xml:space="preserve">　</w:t>
                  </w:r>
                  <w:r w:rsidRPr="00E9425C">
                    <w:rPr>
                      <w:rFonts w:ascii="Calibri" w:eastAsia="仿宋" w:hAnsi="Calibri" w:cs="Calibri"/>
                      <w:color w:val="000000"/>
                      <w:kern w:val="0"/>
                      <w:sz w:val="32"/>
                      <w:szCs w:val="32"/>
                    </w:rPr>
                    <w:t>  </w:t>
                  </w:r>
                </w:p>
                <w:p w:rsidR="00E9425C" w:rsidRPr="00E9425C" w:rsidRDefault="00E9425C" w:rsidP="00E9425C">
                  <w:pPr>
                    <w:widowControl/>
                    <w:shd w:val="clear" w:color="auto" w:fill="FFFFFF"/>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为大力实施“支柱产业倍增计划”和“百亿产业成长计划”，鼓励和吸引外来投资者到安源区投资兴业，推动安源区产业向更高层次迈进。根据国家法律、法规和上级有关政策规定，结合安源区经济发展实际，就招商引资制定本政策。</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一、灵活项目供地</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（一）入园企业推行工业用地“长期租赁、先租后让、租让结合”的供应方式。（牵头单位：区工业园，配合单位：安源土地管理分局）</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二）对集约用地的鼓励类工业项目及标准厂房建设项目优先供应土地，在确定土地出让底价时可按不低于所在地土地等别相对应全国工业用地出让最低价标准的70%执行。（牵头单位：安源土地管理分局，配合单位：区工业园）</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（三）投资项目一律实行“熟地”供应。（牵头单位：区工业园，配合单位：各镇街委）</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二、加快标厂建设</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lastRenderedPageBreak/>
                    <w:t>（四）对在园区建设标准厂房5万平方米以上，且配套完善的项目，按每平方米100元标准进行奖补。（牵头单位：区财政局，配合单位：区工业园）</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五）鼓励企业进驻标准厂房，根据年纳税额给予为期3年的租金优惠补贴，采取先交后补的形式，具体标准如下：企业年实缴税收达到200元/平方米，给予30%租金补贴；年实缴税收达到400元/平方米，给予60%租金补贴；年实缴税收达到600元/平方米，给予100%租金补贴。（牵头单位：区工业园，配合单位：区国税局、区地税局、区财政局）</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（六）对有标准厂房定制需求的企业，可采取由区投资公司与企业代建、合建、租赁等多种方式进行合作，以减轻企业建设成本压力。（牵头单位：区投资公司，配合单位：区工业园、各镇街委）</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三、奖励投资达效</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七）对固定资产投资8000万元以上、投资强度达到100万元/亩（企业需按投资强度的行业标准执行）、项目建设竣工投产1年后实缴税收达到10万元/亩/年以上的新建或扩改增用地工业项目，根据固定资产投资额以产业扶持资金形式予以扶持：</w:t>
                  </w:r>
                  <w:proofErr w:type="gramStart"/>
                  <w:r w:rsidRPr="00E9425C">
                    <w:rPr>
                      <w:rFonts w:ascii="宋体" w:eastAsia="宋体" w:hAnsi="宋体" w:cs="宋体" w:hint="eastAsia"/>
                      <w:color w:val="000000"/>
                      <w:kern w:val="0"/>
                      <w:sz w:val="32"/>
                      <w:szCs w:val="32"/>
                    </w:rPr>
                    <w:t>固投额</w:t>
                  </w:r>
                  <w:proofErr w:type="gramEnd"/>
                  <w:r w:rsidRPr="00E9425C">
                    <w:rPr>
                      <w:rFonts w:ascii="宋体" w:eastAsia="宋体" w:hAnsi="宋体" w:cs="宋体" w:hint="eastAsia"/>
                      <w:color w:val="000000"/>
                      <w:kern w:val="0"/>
                      <w:sz w:val="32"/>
                      <w:szCs w:val="32"/>
                    </w:rPr>
                    <w:t>在8000万元—10000万元的，扶持10万元/亩；</w:t>
                  </w:r>
                  <w:proofErr w:type="gramStart"/>
                  <w:r w:rsidRPr="00E9425C">
                    <w:rPr>
                      <w:rFonts w:ascii="宋体" w:eastAsia="宋体" w:hAnsi="宋体" w:cs="宋体" w:hint="eastAsia"/>
                      <w:color w:val="000000"/>
                      <w:kern w:val="0"/>
                      <w:sz w:val="32"/>
                      <w:szCs w:val="32"/>
                    </w:rPr>
                    <w:t>固投额</w:t>
                  </w:r>
                  <w:proofErr w:type="gramEnd"/>
                  <w:r w:rsidRPr="00E9425C">
                    <w:rPr>
                      <w:rFonts w:ascii="宋体" w:eastAsia="宋体" w:hAnsi="宋体" w:cs="宋体" w:hint="eastAsia"/>
                      <w:color w:val="000000"/>
                      <w:kern w:val="0"/>
                      <w:sz w:val="32"/>
                      <w:szCs w:val="32"/>
                    </w:rPr>
                    <w:t>在10000万元—50000万元的，扶持12万元/亩；</w:t>
                  </w:r>
                  <w:proofErr w:type="gramStart"/>
                  <w:r w:rsidRPr="00E9425C">
                    <w:rPr>
                      <w:rFonts w:ascii="宋体" w:eastAsia="宋体" w:hAnsi="宋体" w:cs="宋体" w:hint="eastAsia"/>
                      <w:color w:val="000000"/>
                      <w:kern w:val="0"/>
                      <w:sz w:val="32"/>
                      <w:szCs w:val="32"/>
                    </w:rPr>
                    <w:t>固投额</w:t>
                  </w:r>
                  <w:proofErr w:type="gramEnd"/>
                  <w:r w:rsidRPr="00E9425C">
                    <w:rPr>
                      <w:rFonts w:ascii="宋体" w:eastAsia="宋体" w:hAnsi="宋体" w:cs="宋体" w:hint="eastAsia"/>
                      <w:color w:val="000000"/>
                      <w:kern w:val="0"/>
                      <w:sz w:val="32"/>
                      <w:szCs w:val="32"/>
                    </w:rPr>
                    <w:t>在50000万元—100000万元的，扶持15万元/亩；</w:t>
                  </w:r>
                  <w:proofErr w:type="gramStart"/>
                  <w:r w:rsidRPr="00E9425C">
                    <w:rPr>
                      <w:rFonts w:ascii="宋体" w:eastAsia="宋体" w:hAnsi="宋体" w:cs="宋体" w:hint="eastAsia"/>
                      <w:color w:val="000000"/>
                      <w:kern w:val="0"/>
                      <w:sz w:val="32"/>
                      <w:szCs w:val="32"/>
                    </w:rPr>
                    <w:t>固投额</w:t>
                  </w:r>
                  <w:proofErr w:type="gramEnd"/>
                  <w:r w:rsidRPr="00E9425C">
                    <w:rPr>
                      <w:rFonts w:ascii="宋体" w:eastAsia="宋体" w:hAnsi="宋体" w:cs="宋体" w:hint="eastAsia"/>
                      <w:color w:val="000000"/>
                      <w:kern w:val="0"/>
                      <w:sz w:val="32"/>
                      <w:szCs w:val="32"/>
                    </w:rPr>
                    <w:t>在100000万元以上的，采取“一事一议”方</w:t>
                  </w:r>
                  <w:r w:rsidRPr="00E9425C">
                    <w:rPr>
                      <w:rFonts w:ascii="宋体" w:eastAsia="宋体" w:hAnsi="宋体" w:cs="宋体" w:hint="eastAsia"/>
                      <w:color w:val="000000"/>
                      <w:kern w:val="0"/>
                      <w:sz w:val="32"/>
                      <w:szCs w:val="32"/>
                    </w:rPr>
                    <w:lastRenderedPageBreak/>
                    <w:t>式确定扶持额度。（牵头单位：区财政局，配合单位：区工业园、区国税局、区地税局、各镇街委）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仿宋_GB2312" w:eastAsia="仿宋_GB2312" w:hAnsi="宋体" w:cs="宋体" w:hint="eastAsia"/>
                      <w:color w:val="000000"/>
                      <w:kern w:val="0"/>
                      <w:sz w:val="32"/>
                      <w:szCs w:val="32"/>
                    </w:rPr>
                    <w:t>（八）对在安源区投资新建的用地工业项目，项目投产后3年内，项目年实缴税收强度达到10万元/</w:t>
                  </w:r>
                  <w:proofErr w:type="gramStart"/>
                  <w:r w:rsidRPr="00E9425C">
                    <w:rPr>
                      <w:rFonts w:ascii="仿宋_GB2312" w:eastAsia="仿宋_GB2312" w:hAnsi="宋体" w:cs="宋体" w:hint="eastAsia"/>
                      <w:color w:val="000000"/>
                      <w:kern w:val="0"/>
                      <w:sz w:val="32"/>
                      <w:szCs w:val="32"/>
                    </w:rPr>
                    <w:t>亩且税收</w:t>
                  </w:r>
                  <w:proofErr w:type="gramEnd"/>
                  <w:r w:rsidRPr="00E9425C">
                    <w:rPr>
                      <w:rFonts w:ascii="仿宋_GB2312" w:eastAsia="仿宋_GB2312" w:hAnsi="宋体" w:cs="宋体" w:hint="eastAsia"/>
                      <w:color w:val="000000"/>
                      <w:kern w:val="0"/>
                      <w:sz w:val="32"/>
                      <w:szCs w:val="32"/>
                    </w:rPr>
                    <w:t>增幅达到10%的（第一年无税收增幅要求），每年安排相当于企业该项目当年所产生的地方可用财力部分的40%奖励给企业；如当年企业该项目税收强度未达到10万元/亩或税收增幅未达到10%，则当年不予奖励。该条款对于企业扩改</w:t>
                  </w:r>
                  <w:proofErr w:type="gramStart"/>
                  <w:r w:rsidRPr="00E9425C">
                    <w:rPr>
                      <w:rFonts w:ascii="仿宋_GB2312" w:eastAsia="仿宋_GB2312" w:hAnsi="宋体" w:cs="宋体" w:hint="eastAsia"/>
                      <w:color w:val="000000"/>
                      <w:kern w:val="0"/>
                      <w:sz w:val="32"/>
                      <w:szCs w:val="32"/>
                    </w:rPr>
                    <w:t>增产业</w:t>
                  </w:r>
                  <w:proofErr w:type="gramEnd"/>
                  <w:r w:rsidRPr="00E9425C">
                    <w:rPr>
                      <w:rFonts w:ascii="仿宋_GB2312" w:eastAsia="仿宋_GB2312" w:hAnsi="宋体" w:cs="宋体" w:hint="eastAsia"/>
                      <w:color w:val="000000"/>
                      <w:kern w:val="0"/>
                      <w:sz w:val="32"/>
                      <w:szCs w:val="32"/>
                    </w:rPr>
                    <w:t>项目同样适用，具体税收以税务部门核定为准。（牵头单位：区财政局，配合单位：区国税局、区地税局、各镇街委）</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四、降低生产成本</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对年实缴税收在20万元/</w:t>
                  </w:r>
                  <w:proofErr w:type="gramStart"/>
                  <w:r w:rsidRPr="00E9425C">
                    <w:rPr>
                      <w:rFonts w:ascii="宋体" w:eastAsia="宋体" w:hAnsi="宋体" w:cs="宋体" w:hint="eastAsia"/>
                      <w:color w:val="000000"/>
                      <w:kern w:val="0"/>
                      <w:sz w:val="32"/>
                      <w:szCs w:val="32"/>
                    </w:rPr>
                    <w:t>亩以上</w:t>
                  </w:r>
                  <w:proofErr w:type="gramEnd"/>
                  <w:r w:rsidRPr="00E9425C">
                    <w:rPr>
                      <w:rFonts w:ascii="宋体" w:eastAsia="宋体" w:hAnsi="宋体" w:cs="宋体" w:hint="eastAsia"/>
                      <w:color w:val="000000"/>
                      <w:kern w:val="0"/>
                      <w:sz w:val="32"/>
                      <w:szCs w:val="32"/>
                    </w:rPr>
                    <w:t>的新建及扩改</w:t>
                  </w:r>
                  <w:proofErr w:type="gramStart"/>
                  <w:r w:rsidRPr="00E9425C">
                    <w:rPr>
                      <w:rFonts w:ascii="宋体" w:eastAsia="宋体" w:hAnsi="宋体" w:cs="宋体" w:hint="eastAsia"/>
                      <w:color w:val="000000"/>
                      <w:kern w:val="0"/>
                      <w:sz w:val="32"/>
                      <w:szCs w:val="32"/>
                    </w:rPr>
                    <w:t>增产业</w:t>
                  </w:r>
                  <w:proofErr w:type="gramEnd"/>
                  <w:r w:rsidRPr="00E9425C">
                    <w:rPr>
                      <w:rFonts w:ascii="宋体" w:eastAsia="宋体" w:hAnsi="宋体" w:cs="宋体" w:hint="eastAsia"/>
                      <w:color w:val="000000"/>
                      <w:kern w:val="0"/>
                      <w:sz w:val="32"/>
                      <w:szCs w:val="32"/>
                    </w:rPr>
                    <w:t>项目，给予5年降低成本等相关支持。</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（九）用电补贴。对年用电量在500万度—2000万度的企业，从产业扶持资金中安排资金补贴0.1元/度；对年用电量在2000万度以上的企业，从产业扶持资金中安排资金补贴0.2元/度。用电低于0.5元/</w:t>
                  </w:r>
                  <w:proofErr w:type="gramStart"/>
                  <w:r w:rsidRPr="00E9425C">
                    <w:rPr>
                      <w:rFonts w:ascii="宋体" w:eastAsia="宋体" w:hAnsi="宋体" w:cs="宋体" w:hint="eastAsia"/>
                      <w:color w:val="000000"/>
                      <w:kern w:val="0"/>
                      <w:sz w:val="32"/>
                      <w:szCs w:val="32"/>
                    </w:rPr>
                    <w:t>度部分</w:t>
                  </w:r>
                  <w:proofErr w:type="gramEnd"/>
                  <w:r w:rsidRPr="00E9425C">
                    <w:rPr>
                      <w:rFonts w:ascii="宋体" w:eastAsia="宋体" w:hAnsi="宋体" w:cs="宋体" w:hint="eastAsia"/>
                      <w:color w:val="000000"/>
                      <w:kern w:val="0"/>
                      <w:sz w:val="32"/>
                      <w:szCs w:val="32"/>
                    </w:rPr>
                    <w:t>不再进行补贴。（牵头单位：区财政局，配合单位：区工信委）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（十）用气补贴。对年用气量在200万方以上的企业，补贴0.1元/方。（牵头单位：区财政局，配合单位：区工信委）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lastRenderedPageBreak/>
                    <w:t>以上两项补贴金额不超过企业当年所产生地方可用财力部分的60%。</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（十一）设备补贴。新购置自动化设备按照不超过增值税发票20%的比例进行补贴。（牵头单位：区财政局，配合单位：区工业园）</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（十二）用工支持。企业职工基本养老保险单位缴费比例由20%降低至19%；失业保险单位缴费比例降低至0.5%。降低费率的期限暂按(赣</w:t>
                  </w:r>
                  <w:proofErr w:type="gramStart"/>
                  <w:r w:rsidRPr="00E9425C">
                    <w:rPr>
                      <w:rFonts w:ascii="宋体" w:eastAsia="宋体" w:hAnsi="宋体" w:cs="宋体" w:hint="eastAsia"/>
                      <w:color w:val="000000"/>
                      <w:kern w:val="0"/>
                      <w:sz w:val="32"/>
                      <w:szCs w:val="32"/>
                    </w:rPr>
                    <w:t>人社发</w:t>
                  </w:r>
                  <w:proofErr w:type="gramEnd"/>
                  <w:r w:rsidRPr="00E9425C">
                    <w:rPr>
                      <w:rFonts w:ascii="宋体" w:eastAsia="宋体" w:hAnsi="宋体" w:cs="宋体" w:hint="eastAsia"/>
                      <w:color w:val="000000"/>
                      <w:kern w:val="0"/>
                      <w:sz w:val="32"/>
                      <w:szCs w:val="32"/>
                    </w:rPr>
                    <w:t>〔2016〕16号)执行两年。 (牵头单位：区</w:t>
                  </w:r>
                  <w:proofErr w:type="gramStart"/>
                  <w:r w:rsidRPr="00E9425C">
                    <w:rPr>
                      <w:rFonts w:ascii="宋体" w:eastAsia="宋体" w:hAnsi="宋体" w:cs="宋体" w:hint="eastAsia"/>
                      <w:color w:val="000000"/>
                      <w:kern w:val="0"/>
                      <w:sz w:val="32"/>
                      <w:szCs w:val="32"/>
                    </w:rPr>
                    <w:t>人社局</w:t>
                  </w:r>
                  <w:proofErr w:type="gramEnd"/>
                  <w:r w:rsidRPr="00E9425C">
                    <w:rPr>
                      <w:rFonts w:ascii="宋体" w:eastAsia="宋体" w:hAnsi="宋体" w:cs="宋体" w:hint="eastAsia"/>
                      <w:color w:val="000000"/>
                      <w:kern w:val="0"/>
                      <w:sz w:val="32"/>
                      <w:szCs w:val="32"/>
                    </w:rPr>
                    <w:t>，配合单位：各镇街委)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（十三）融资支持。对符合条件的企业可申请1年期最高额度1000万的</w:t>
                  </w:r>
                  <w:proofErr w:type="gramStart"/>
                  <w:r w:rsidRPr="00E9425C">
                    <w:rPr>
                      <w:rFonts w:ascii="宋体" w:eastAsia="宋体" w:hAnsi="宋体" w:cs="宋体" w:hint="eastAsia"/>
                      <w:color w:val="000000"/>
                      <w:kern w:val="0"/>
                      <w:sz w:val="32"/>
                      <w:szCs w:val="32"/>
                    </w:rPr>
                    <w:t>财园信贷通贷</w:t>
                  </w:r>
                  <w:proofErr w:type="gramEnd"/>
                  <w:r w:rsidRPr="00E9425C">
                    <w:rPr>
                      <w:rFonts w:ascii="宋体" w:eastAsia="宋体" w:hAnsi="宋体" w:cs="宋体" w:hint="eastAsia"/>
                      <w:color w:val="000000"/>
                      <w:kern w:val="0"/>
                      <w:sz w:val="32"/>
                      <w:szCs w:val="32"/>
                    </w:rPr>
                    <w:t>款，对当年实缴税收强度超过10万元/亩的企业给予30%贴息支持，单家企业贴息总金额最高不超过20万元。新增贷款必须用于企业生产经营，企业3年内有不良信用记录的，一律不予贴息。支持区投资公司以入股等形式对科技含量高、市场前景好、税收贡献大的新兴企业发展以及传统龙头企业转型升级进行投资。（牵头单位：区财政局、区工业园、区投资公司，配合单位：区国税局、区地税局）</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五、促进人才引进</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（十四）鼓励高级人才落户。对拥有全日制博士学位（含高级职称）、在安源区年纳税在1000万元以上企业工作满3年且每年在安源区实际工作时间半年以上的人才，一次性奖</w:t>
                  </w:r>
                  <w:r w:rsidRPr="00E9425C">
                    <w:rPr>
                      <w:rFonts w:ascii="宋体" w:eastAsia="宋体" w:hAnsi="宋体" w:cs="宋体" w:hint="eastAsia"/>
                      <w:color w:val="000000"/>
                      <w:kern w:val="0"/>
                      <w:sz w:val="32"/>
                      <w:szCs w:val="32"/>
                    </w:rPr>
                    <w:lastRenderedPageBreak/>
                    <w:t>励10万元；对在安源区年纳税在1000万元以上企业任职满3年、有突出贡献的优秀职业经理人，一次性奖励10万元。（牵头单位：区科技局、区人社局，配合单位：区国税局、区地税局、区财政局）</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五）重奖企业领军人才。对当年纳税首次达到1亿元、5000万元、3000万元、1000万元且当年税收增幅达到10%以上的企业的法人代表，分别奖励100万元、50万元、30万元、20万元，（牵头单位：区财政局、区科技局，配合单位：区国税局、区地税局、区工信委）</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六、鼓励创新创业</w:t>
                  </w:r>
                </w:p>
                <w:p w:rsidR="00E9425C" w:rsidRPr="00E9425C" w:rsidRDefault="00E9425C" w:rsidP="00E9425C">
                  <w:pPr>
                    <w:widowControl/>
                    <w:spacing w:line="580" w:lineRule="atLeast"/>
                    <w:ind w:firstLine="661"/>
                    <w:rPr>
                      <w:rFonts w:ascii="宋体" w:eastAsia="宋体" w:hAnsi="宋体" w:cs="宋体"/>
                      <w:color w:val="4F4F4F"/>
                      <w:kern w:val="0"/>
                      <w:szCs w:val="21"/>
                    </w:rPr>
                  </w:pPr>
                  <w:r w:rsidRPr="00E9425C">
                    <w:rPr>
                      <w:rFonts w:ascii="仿宋_GB2312" w:eastAsia="仿宋_GB2312" w:hAnsi="宋体" w:cs="宋体" w:hint="eastAsia"/>
                      <w:color w:val="000000"/>
                      <w:kern w:val="0"/>
                      <w:sz w:val="32"/>
                      <w:szCs w:val="32"/>
                    </w:rPr>
                    <w:t>（十六）鼓励加快技术改造。企业实施的经相关部门认定的技术改造项目，年度固定资产总投资（不含土建部分）额度在2000万元以上的〔以合法注册的会计师（审计师）事务所出具的专项审计报告为依据〕，从产业扶持资金中按投资额给予贴息支持，贴息额度为人民银行同期基准利率的50%，贴息期限为1年，单个企业贴息金额上限为50万元。（牵头单位：区财政局、区工信委，配合单位：各镇街委）</w:t>
                  </w:r>
                  <w:r w:rsidRPr="00E9425C">
                    <w:rPr>
                      <w:rFonts w:ascii="微软雅黑" w:eastAsia="微软雅黑" w:hAnsi="微软雅黑" w:cs="微软雅黑" w:hint="eastAsia"/>
                      <w:color w:val="000000"/>
                      <w:kern w:val="0"/>
                      <w:sz w:val="32"/>
                      <w:szCs w:val="32"/>
                    </w:rPr>
                    <w:t xml:space="preserve">　</w:t>
                  </w:r>
                </w:p>
                <w:p w:rsidR="00E9425C" w:rsidRPr="00E9425C" w:rsidRDefault="00E9425C" w:rsidP="00E9425C">
                  <w:pPr>
                    <w:widowControl/>
                    <w:spacing w:line="58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（十七）支持加大研发力度。企业新创建各级技术中心、工程研究中心、工业设计中心、重点实验室、检测中心等各类平台，凡通过国家各部委等权威部门认定的，</w:t>
                  </w:r>
                  <w:proofErr w:type="gramStart"/>
                  <w:r w:rsidRPr="00E9425C">
                    <w:rPr>
                      <w:rFonts w:ascii="宋体" w:eastAsia="宋体" w:hAnsi="宋体" w:cs="宋体" w:hint="eastAsia"/>
                      <w:color w:val="000000"/>
                      <w:kern w:val="0"/>
                      <w:sz w:val="32"/>
                      <w:szCs w:val="32"/>
                    </w:rPr>
                    <w:t>凭正式</w:t>
                  </w:r>
                  <w:proofErr w:type="gramEnd"/>
                  <w:r w:rsidRPr="00E9425C">
                    <w:rPr>
                      <w:rFonts w:ascii="宋体" w:eastAsia="宋体" w:hAnsi="宋体" w:cs="宋体" w:hint="eastAsia"/>
                      <w:color w:val="000000"/>
                      <w:kern w:val="0"/>
                      <w:sz w:val="32"/>
                      <w:szCs w:val="32"/>
                    </w:rPr>
                    <w:t>发布或通报文件给予企业100万元（国家级）、50万元（省级）、</w:t>
                  </w:r>
                  <w:r w:rsidRPr="00E9425C">
                    <w:rPr>
                      <w:rFonts w:ascii="宋体" w:eastAsia="宋体" w:hAnsi="宋体" w:cs="宋体" w:hint="eastAsia"/>
                      <w:color w:val="000000"/>
                      <w:kern w:val="0"/>
                      <w:sz w:val="32"/>
                      <w:szCs w:val="32"/>
                    </w:rPr>
                    <w:lastRenderedPageBreak/>
                    <w:t>8万元（地市级）的一次性补助或奖励。（牵头单位：区财政局、区工信委、区科技局，配合单位：各镇街委）</w:t>
                  </w:r>
                </w:p>
                <w:p w:rsidR="00E9425C" w:rsidRPr="00E9425C" w:rsidRDefault="00E9425C" w:rsidP="00E9425C">
                  <w:pPr>
                    <w:widowControl/>
                    <w:spacing w:line="58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八）推进发展电商业务。支持企业利用电商平台拓展市场，鼓励企业开设网上商城旗舰店。对在阿里巴巴、京东、1号店等知名电商平台设立网上旗舰店的企业，正常运营6个月以上，年交易额达到1000万元的，奖励5万元；交易额每增加1000万元，增加奖励1万元，单个企业最高奖励不超过10万元。（牵头单位：区商务局，配合单位：区财政局）</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七、支持企业上市</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十九）企业成功挂牌上市后，该上市企业首发募集资金总额60%以上投入本地范围内的，根据首发募集资金额，按照以下三个档次对企业进行一次性奖励：首发募集金额3亿元以下的（含3亿元，境外上市以首发当日汇率折合人民币计算，下同）、3亿元以上10亿元以下的、10亿元以上的，一次性分别奖励100万元、200万元、300万元；对总部设在本地的，奖励标准分别提高至300万元、600万元、1000万元。（牵头单位：区财政局，配合单位：区工信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（二十）对因上市成功、兼并重组、抛售限售股后，企业高</w:t>
                  </w:r>
                  <w:proofErr w:type="gramStart"/>
                  <w:r w:rsidRPr="00E9425C">
                    <w:rPr>
                      <w:rFonts w:ascii="宋体" w:eastAsia="宋体" w:hAnsi="宋体" w:cs="宋体" w:hint="eastAsia"/>
                      <w:color w:val="000000"/>
                      <w:kern w:val="0"/>
                      <w:sz w:val="32"/>
                      <w:szCs w:val="32"/>
                    </w:rPr>
                    <w:t>管当年</w:t>
                  </w:r>
                  <w:proofErr w:type="gramEnd"/>
                  <w:r w:rsidRPr="00E9425C">
                    <w:rPr>
                      <w:rFonts w:ascii="宋体" w:eastAsia="宋体" w:hAnsi="宋体" w:cs="宋体" w:hint="eastAsia"/>
                      <w:color w:val="000000"/>
                      <w:kern w:val="0"/>
                      <w:sz w:val="32"/>
                      <w:szCs w:val="32"/>
                    </w:rPr>
                    <w:t>缴纳个人所得税在300万元—1000万元的，其个人所得税地方留成部分的50%由产业扶持资金补助给个人；在1000万元—2000万元的，其个人所得税地方留成部分的</w:t>
                  </w:r>
                  <w:r w:rsidRPr="00E9425C">
                    <w:rPr>
                      <w:rFonts w:ascii="宋体" w:eastAsia="宋体" w:hAnsi="宋体" w:cs="宋体" w:hint="eastAsia"/>
                      <w:color w:val="000000"/>
                      <w:kern w:val="0"/>
                      <w:sz w:val="32"/>
                      <w:szCs w:val="32"/>
                    </w:rPr>
                    <w:lastRenderedPageBreak/>
                    <w:t>60%由产业扶持资金补助给个人；在2000万元—5000万元的，其个人所得税地方留成部分的80%由产业扶持资金补助给个人；在5000万元以上的，其个人所得税地方留成部分的90%由产业扶持资金补助给个人。以上奖励资金须用于本地范围内的投资置业。（牵头单位：区财政局，配合单位：区工信委）</w:t>
                  </w:r>
                </w:p>
                <w:p w:rsidR="00E9425C" w:rsidRPr="00E9425C" w:rsidRDefault="00E9425C" w:rsidP="00E9425C">
                  <w:pPr>
                    <w:widowControl/>
                    <w:spacing w:line="560" w:lineRule="atLeast"/>
                    <w:ind w:firstLine="663"/>
                    <w:jc w:val="left"/>
                    <w:rPr>
                      <w:rFonts w:ascii="宋体" w:eastAsia="宋体" w:hAnsi="宋体" w:cs="宋体"/>
                      <w:color w:val="4F4F4F"/>
                      <w:kern w:val="0"/>
                      <w:szCs w:val="21"/>
                    </w:rPr>
                  </w:pPr>
                  <w:r w:rsidRPr="00E9425C">
                    <w:rPr>
                      <w:rFonts w:ascii="黑体" w:eastAsia="黑体" w:hAnsi="黑体" w:cs="宋体" w:hint="eastAsia"/>
                      <w:b/>
                      <w:bCs/>
                      <w:color w:val="4F4F4F"/>
                      <w:kern w:val="0"/>
                      <w:sz w:val="32"/>
                      <w:szCs w:val="32"/>
                    </w:rPr>
                    <w:t>八、</w:t>
                  </w:r>
                  <w:r w:rsidRPr="00E9425C">
                    <w:rPr>
                      <w:rFonts w:ascii="黑体" w:eastAsia="黑体" w:hAnsi="黑体" w:cs="宋体" w:hint="eastAsia"/>
                      <w:b/>
                      <w:bCs/>
                      <w:color w:val="000000"/>
                      <w:kern w:val="0"/>
                      <w:sz w:val="32"/>
                      <w:szCs w:val="32"/>
                    </w:rPr>
                    <w:t>优化投资环境</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（二十一）对安源区内工业项目涉及的行政审批事项，在企业提供必要的资料后，实行“全程代办，限时办结”。（牵头单位：区公共政务管理局，配合单位：各镇街委）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（二十二）安源区新建工业企业及企业扩改建项目，涉及的本级行政事业性收费全免；涉及的经营服务性收费，按下限标准的50%执行。（牵头单位：区公共政务管理局）</w:t>
                  </w:r>
                </w:p>
                <w:p w:rsidR="00E9425C" w:rsidRPr="00E9425C" w:rsidRDefault="00E9425C" w:rsidP="00E9425C">
                  <w:pPr>
                    <w:widowControl/>
                    <w:spacing w:line="560" w:lineRule="atLeast"/>
                    <w:ind w:firstLine="661"/>
                    <w:jc w:val="left"/>
                    <w:rPr>
                      <w:rFonts w:ascii="宋体" w:eastAsia="宋体" w:hAnsi="宋体" w:cs="宋体"/>
                      <w:color w:val="4F4F4F"/>
                      <w:kern w:val="0"/>
                      <w:szCs w:val="21"/>
                    </w:rPr>
                  </w:pPr>
                  <w:r w:rsidRPr="00E9425C">
                    <w:rPr>
                      <w:rFonts w:ascii="黑体" w:eastAsia="黑体" w:hAnsi="黑体" w:cs="宋体" w:hint="eastAsia"/>
                      <w:color w:val="000000"/>
                      <w:kern w:val="0"/>
                      <w:sz w:val="32"/>
                      <w:szCs w:val="32"/>
                    </w:rPr>
                    <w:t>九、特惠“一事一议”</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二十三）在实际投资过程中根据项目实际情况，对全球500强、国内100强企业投资的项目、萍乡市级以上认定的高新技术产业项目、固定投资在3亿元以上的重大工业项目及现代服务业项目、“2+1”主导产业项目，实行“一事一议”的方式单独制定优惠政策。（牵头单位：区商务局，配合单位：区工信委、区发改委、各镇街委）</w:t>
                  </w:r>
                </w:p>
                <w:p w:rsidR="00E9425C" w:rsidRPr="00E9425C" w:rsidRDefault="00E9425C" w:rsidP="00E9425C">
                  <w:pPr>
                    <w:widowControl/>
                    <w:spacing w:line="560" w:lineRule="atLeast"/>
                    <w:ind w:firstLine="661"/>
                    <w:rPr>
                      <w:rFonts w:ascii="宋体" w:eastAsia="宋体" w:hAnsi="宋体" w:cs="宋体"/>
                      <w:color w:val="4F4F4F"/>
                      <w:kern w:val="0"/>
                      <w:szCs w:val="21"/>
                    </w:rPr>
                  </w:pPr>
                  <w:r w:rsidRPr="00E9425C">
                    <w:rPr>
                      <w:rFonts w:ascii="宋体" w:eastAsia="宋体" w:hAnsi="宋体" w:cs="宋体" w:hint="eastAsia"/>
                      <w:color w:val="000000"/>
                      <w:kern w:val="0"/>
                      <w:sz w:val="32"/>
                      <w:szCs w:val="32"/>
                    </w:rPr>
                    <w:t>本意见适用于项目投资主体在安源区，依法进行企业工商注册，并符合国家产业政策、安源区产业发展规划及环境</w:t>
                  </w:r>
                  <w:r w:rsidRPr="00E9425C">
                    <w:rPr>
                      <w:rFonts w:ascii="宋体" w:eastAsia="宋体" w:hAnsi="宋体" w:cs="宋体" w:hint="eastAsia"/>
                      <w:color w:val="000000"/>
                      <w:kern w:val="0"/>
                      <w:sz w:val="32"/>
                      <w:szCs w:val="32"/>
                    </w:rPr>
                    <w:lastRenderedPageBreak/>
                    <w:t>保护、安全生产要求的企业。对落户安源区范围内的其他产业项目，在符合国家现行政策的前提下比照执行。以上扶持政策自下发之日起执行。</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Calibri" w:eastAsia="仿宋" w:hAnsi="Calibri" w:cs="Calibri"/>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Calibri" w:eastAsia="仿宋" w:hAnsi="Calibri" w:cs="Calibri"/>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Calibri" w:eastAsia="仿宋" w:hAnsi="Calibri" w:cs="Calibri"/>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Calibri" w:eastAsia="仿宋" w:hAnsi="Calibri" w:cs="Calibri"/>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Calibri" w:eastAsia="仿宋" w:hAnsi="Calibri" w:cs="Calibri"/>
                      <w:color w:val="4F4F4F"/>
                      <w:kern w:val="0"/>
                      <w:sz w:val="36"/>
                      <w:szCs w:val="36"/>
                    </w:rPr>
                    <w:t> </w:t>
                  </w:r>
                </w:p>
                <w:p w:rsidR="00E9425C" w:rsidRPr="00E9425C" w:rsidRDefault="00E9425C" w:rsidP="00E9425C">
                  <w:pPr>
                    <w:widowControl/>
                    <w:spacing w:line="560" w:lineRule="atLeast"/>
                    <w:jc w:val="left"/>
                    <w:rPr>
                      <w:rFonts w:ascii="宋体" w:eastAsia="宋体" w:hAnsi="宋体" w:cs="宋体"/>
                      <w:color w:val="4F4F4F"/>
                      <w:kern w:val="0"/>
                      <w:sz w:val="24"/>
                      <w:szCs w:val="24"/>
                    </w:rPr>
                  </w:pPr>
                  <w:r w:rsidRPr="00E9425C">
                    <w:rPr>
                      <w:rFonts w:ascii="Calibri" w:eastAsia="仿宋" w:hAnsi="Calibri" w:cs="Calibri"/>
                      <w:color w:val="4F4F4F"/>
                      <w:kern w:val="0"/>
                      <w:sz w:val="36"/>
                      <w:szCs w:val="36"/>
                    </w:rPr>
                    <w:t> </w:t>
                  </w:r>
                </w:p>
                <w:p w:rsidR="00E9425C" w:rsidRPr="00E9425C" w:rsidRDefault="00E9425C" w:rsidP="00E9425C">
                  <w:pPr>
                    <w:widowControl/>
                    <w:spacing w:line="500" w:lineRule="atLeast"/>
                    <w:jc w:val="left"/>
                    <w:textAlignment w:val="top"/>
                    <w:rPr>
                      <w:rFonts w:ascii="宋体" w:eastAsia="宋体" w:hAnsi="宋体" w:cs="宋体"/>
                      <w:color w:val="4F4F4F"/>
                      <w:kern w:val="0"/>
                      <w:sz w:val="24"/>
                      <w:szCs w:val="24"/>
                    </w:rPr>
                  </w:pPr>
                  <w:r w:rsidRPr="00E9425C">
                    <w:rPr>
                      <w:rFonts w:ascii="宋体" w:eastAsia="宋体" w:hAnsi="宋体" w:cs="宋体"/>
                      <w:noProof/>
                      <w:color w:val="4F4F4F"/>
                      <w:kern w:val="0"/>
                      <w:sz w:val="24"/>
                      <w:szCs w:val="24"/>
                    </w:rPr>
                    <mc:AlternateContent>
                      <mc:Choice Requires="wps">
                        <w:drawing>
                          <wp:inline distT="0" distB="0" distL="0" distR="0">
                            <wp:extent cx="5619750" cy="19050"/>
                            <wp:effectExtent l="0" t="0" r="0" b="0"/>
                            <wp:docPr id="2" name="矩形 2" descr="C:\Users\ADMINI~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F201B" id="矩形 2" o:spid="_x0000_s1026" style="width:4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" filled="f" stroked="f">
                            <o:lock v:ext="edit" aspectratio="t"/>
                            <w10:anchorlock/>
                          </v:rect>
                        </w:pict>
                      </mc:Fallback>
                    </mc:AlternateContent>
                  </w:r>
                  <w:r w:rsidRPr="00E9425C">
                    <w:rPr>
                      <w:rFonts w:ascii="仿宋_GB2312" w:eastAsia="仿宋_GB2312" w:hAnsi="宋体" w:cs="宋体" w:hint="eastAsia"/>
                      <w:color w:val="4F4F4F"/>
                      <w:kern w:val="0"/>
                      <w:sz w:val="36"/>
                      <w:szCs w:val="36"/>
                    </w:rPr>
                    <w:t> </w:t>
                  </w:r>
                </w:p>
                <w:p w:rsidR="00E9425C" w:rsidRPr="00E9425C" w:rsidRDefault="00E9425C" w:rsidP="00E9425C">
                  <w:pPr>
                    <w:widowControl/>
                    <w:spacing w:line="375" w:lineRule="atLeast"/>
                    <w:jc w:val="left"/>
                    <w:rPr>
                      <w:rFonts w:ascii="宋体" w:eastAsia="宋体" w:hAnsi="宋体" w:cs="宋体"/>
                      <w:color w:val="4F4F4F"/>
                      <w:kern w:val="0"/>
                      <w:szCs w:val="21"/>
                    </w:rPr>
                  </w:pPr>
                  <w:r w:rsidRPr="00E9425C">
                    <w:rPr>
                      <w:rFonts w:ascii="宋体" w:eastAsia="宋体" w:hAnsi="宋体" w:cs="宋体"/>
                      <w:color w:val="4F4F4F"/>
                      <w:kern w:val="0"/>
                      <w:szCs w:val="21"/>
                    </w:rPr>
                    <w:br w:type="textWrapping" w:clear="all"/>
                  </w:r>
                </w:p>
                <w:p w:rsidR="00E9425C" w:rsidRPr="00E9425C" w:rsidRDefault="00E9425C" w:rsidP="00E9425C">
                  <w:pPr>
                    <w:widowControl/>
                    <w:spacing w:line="400" w:lineRule="atLeast"/>
                    <w:jc w:val="left"/>
                    <w:textAlignment w:val="top"/>
                    <w:rPr>
                      <w:rFonts w:ascii="宋体" w:eastAsia="宋体" w:hAnsi="宋体" w:cs="宋体"/>
                      <w:color w:val="4F4F4F"/>
                      <w:kern w:val="0"/>
                      <w:sz w:val="24"/>
                      <w:szCs w:val="24"/>
                    </w:rPr>
                  </w:pPr>
                  <w:r w:rsidRPr="00E9425C">
                    <w:rPr>
                      <w:rFonts w:ascii="宋体" w:eastAsia="宋体" w:hAnsi="宋体" w:cs="宋体"/>
                      <w:noProof/>
                      <w:color w:val="4F4F4F"/>
                      <w:kern w:val="0"/>
                      <w:sz w:val="24"/>
                      <w:szCs w:val="24"/>
                    </w:rPr>
                    <mc:AlternateContent>
                      <mc:Choice Requires="wps">
                        <w:drawing>
                          <wp:inline distT="0" distB="0" distL="0" distR="0">
                            <wp:extent cx="5619750" cy="19050"/>
                            <wp:effectExtent l="0" t="0" r="0" b="0"/>
                            <wp:docPr id="1" name="矩形 1" descr="C:\Users\ADMINI~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2311C" id="矩形 1" o:spid="_x0000_s1026" style="width:4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" filled="f" stroked="f">
                            <o:lock v:ext="edit" aspectratio="t"/>
                            <w10:anchorlock/>
                          </v:rect>
                        </w:pict>
                      </mc:Fallback>
                    </mc:AlternateContent>
                  </w:r>
                  <w:r w:rsidRPr="00E9425C">
                    <w:rPr>
                      <w:rFonts w:ascii="仿宋_GB2312" w:eastAsia="仿宋_GB2312" w:hAnsi="宋体" w:cs="宋体" w:hint="eastAsia"/>
                      <w:color w:val="4F4F4F"/>
                      <w:kern w:val="0"/>
                      <w:sz w:val="28"/>
                      <w:szCs w:val="28"/>
                    </w:rPr>
                    <w:t> </w:t>
                  </w:r>
                  <w:r w:rsidRPr="00E9425C">
                    <w:rPr>
                      <w:rFonts w:ascii="仿宋_GB2312" w:eastAsia="仿宋_GB2312" w:hAnsi="宋体" w:cs="宋体" w:hint="eastAsia"/>
                      <w:color w:val="4F4F4F"/>
                      <w:kern w:val="0"/>
                      <w:sz w:val="28"/>
                      <w:szCs w:val="28"/>
                    </w:rPr>
                    <w:t>中共安源区委办公室</w:t>
                  </w:r>
                  <w:proofErr w:type="gramStart"/>
                  <w:r w:rsidRPr="00E9425C">
                    <w:rPr>
                      <w:rFonts w:ascii="仿宋_GB2312" w:eastAsia="仿宋_GB2312" w:hAnsi="宋体" w:cs="宋体" w:hint="eastAsia"/>
                      <w:color w:val="4F4F4F"/>
                      <w:kern w:val="0"/>
                      <w:sz w:val="28"/>
                      <w:szCs w:val="28"/>
                    </w:rPr>
                    <w:t xml:space="preserve">　　　　　　　　</w:t>
                  </w:r>
                  <w:proofErr w:type="gramEnd"/>
                  <w:r w:rsidRPr="00E9425C">
                    <w:rPr>
                      <w:rFonts w:ascii="仿宋_GB2312" w:eastAsia="仿宋_GB2312" w:hAnsi="宋体" w:cs="宋体" w:hint="eastAsia"/>
                      <w:color w:val="4F4F4F"/>
                      <w:kern w:val="0"/>
                      <w:sz w:val="28"/>
                      <w:szCs w:val="28"/>
                    </w:rPr>
                    <w:t> </w:t>
                  </w:r>
                  <w:r w:rsidRPr="00E9425C">
                    <w:rPr>
                      <w:rFonts w:ascii="仿宋_GB2312" w:eastAsia="仿宋_GB2312" w:hAnsi="宋体" w:cs="宋体" w:hint="eastAsia"/>
                      <w:color w:val="4F4F4F"/>
                      <w:kern w:val="0"/>
                      <w:sz w:val="28"/>
                      <w:szCs w:val="28"/>
                    </w:rPr>
                    <w:t xml:space="preserve">　　2017年6月20日印发</w:t>
                  </w:r>
                </w:p>
              </w:tc>
            </w:tr>
          </w:tbl>
          <w:p w:rsidR="00E9425C" w:rsidRPr="00E9425C" w:rsidRDefault="00E9425C" w:rsidP="00E9425C">
            <w:pPr>
              <w:widowControl/>
              <w:jc w:val="center"/>
              <w:rPr>
                <w:rFonts w:ascii="Simsun" w:eastAsia="宋体" w:hAnsi="Simsun" w:cs="宋体"/>
                <w:color w:val="000000"/>
                <w:kern w:val="0"/>
                <w:sz w:val="27"/>
                <w:szCs w:val="27"/>
              </w:rPr>
            </w:pPr>
          </w:p>
        </w:tc>
      </w:tr>
    </w:tbl>
    <w:p w:rsidR="008979F7" w:rsidRPr="00E9425C" w:rsidRDefault="008979F7"/>
    <w:sectPr w:rsidR="008979F7" w:rsidRPr="00E94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5C"/>
    <w:rsid w:val="008979F7"/>
    <w:rsid w:val="00E9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C0A18-5328-48F0-AC0A-BC64D8E9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
    <w:name w:val="style10"/>
    <w:basedOn w:val="a0"/>
    <w:rsid w:val="00E9425C"/>
  </w:style>
  <w:style w:type="character" w:customStyle="1" w:styleId="apple-converted-space">
    <w:name w:val="apple-converted-space"/>
    <w:basedOn w:val="a0"/>
    <w:rsid w:val="00E9425C"/>
  </w:style>
  <w:style w:type="paragraph" w:customStyle="1" w:styleId="normalweb">
    <w:name w:val="normalweb"/>
    <w:basedOn w:val="a"/>
    <w:rsid w:val="00E9425C"/>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E94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75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2018-05-06T11:58:00Z</dcterms:created>
  <dcterms:modified xsi:type="dcterms:W3CDTF">2018-05-06T11:58:00Z</dcterms:modified>
</cp:coreProperties>
</file>