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05" w:rsidRDefault="00D10305" w:rsidP="00D10305">
      <w:pPr>
        <w:pStyle w:val="a3"/>
        <w:shd w:val="clear" w:color="auto" w:fill="FFFFFF"/>
        <w:spacing w:before="0" w:beforeAutospacing="0" w:after="0" w:afterAutospacing="0" w:line="480" w:lineRule="auto"/>
        <w:jc w:val="center"/>
        <w:rPr>
          <w:rFonts w:ascii="微软雅黑" w:eastAsia="微软雅黑" w:hAnsi="微软雅黑" w:hint="eastAsia"/>
          <w:color w:val="000000"/>
          <w:sz w:val="36"/>
          <w:szCs w:val="36"/>
          <w:shd w:val="clear" w:color="auto" w:fill="FFFFFF"/>
        </w:rPr>
      </w:pPr>
      <w:r>
        <w:rPr>
          <w:rFonts w:ascii="微软雅黑" w:eastAsia="微软雅黑" w:hAnsi="微软雅黑" w:hint="eastAsia"/>
          <w:color w:val="000000"/>
          <w:sz w:val="36"/>
          <w:szCs w:val="36"/>
          <w:shd w:val="clear" w:color="auto" w:fill="FFFFFF"/>
        </w:rPr>
        <w:t>市人民政府办公室关于印发六盘水市实施“百企改造”工程促进工业转型升级方案的通知</w:t>
      </w:r>
      <w:bookmarkStart w:id="0" w:name="_GoBack"/>
      <w:bookmarkEnd w:id="0"/>
    </w:p>
    <w:p w:rsidR="00D10305" w:rsidRDefault="00D10305" w:rsidP="00D10305">
      <w:pPr>
        <w:pStyle w:val="a3"/>
        <w:shd w:val="clear" w:color="auto" w:fill="FFFFFF"/>
        <w:spacing w:before="0" w:beforeAutospacing="0" w:after="0" w:afterAutospacing="0" w:line="480" w:lineRule="auto"/>
        <w:rPr>
          <w:rFonts w:ascii="microsoft yahei" w:hAnsi="microsoft yahei"/>
          <w:color w:val="333333"/>
          <w:sz w:val="21"/>
          <w:szCs w:val="21"/>
        </w:rPr>
      </w:pPr>
      <w:r>
        <w:rPr>
          <w:rFonts w:hint="eastAsia"/>
          <w:color w:val="333333"/>
        </w:rPr>
        <w:t>各县、特区、区人民政府，各经济开发区管委会，市人民政府各部门、各直属机构，中央、省属驻市行政企事业单位：</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《六盘水市实施“百企改造”工程促进工业转型升级方案》已经市人民政府同意，现印发给你们，请结合实际认真贯彻执行。</w:t>
      </w:r>
    </w:p>
    <w:p w:rsidR="00D10305" w:rsidRDefault="00D10305" w:rsidP="00D10305">
      <w:pPr>
        <w:pStyle w:val="a3"/>
        <w:shd w:val="clear" w:color="auto" w:fill="FFFFFF"/>
        <w:spacing w:before="0" w:beforeAutospacing="0" w:after="0" w:afterAutospacing="0" w:line="480" w:lineRule="auto"/>
        <w:ind w:firstLine="480"/>
        <w:jc w:val="right"/>
        <w:rPr>
          <w:rFonts w:ascii="microsoft yahei" w:hAnsi="microsoft yahei"/>
          <w:color w:val="333333"/>
          <w:sz w:val="21"/>
          <w:szCs w:val="21"/>
        </w:rPr>
      </w:pPr>
      <w:r>
        <w:rPr>
          <w:rFonts w:hint="eastAsia"/>
          <w:color w:val="333333"/>
        </w:rPr>
        <w:t>2016年11月4日</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(此件公开发布)</w:t>
      </w:r>
    </w:p>
    <w:p w:rsidR="00D10305" w:rsidRDefault="00D10305" w:rsidP="00D10305">
      <w:pPr>
        <w:pStyle w:val="a3"/>
        <w:shd w:val="clear" w:color="auto" w:fill="FFFFFF"/>
        <w:spacing w:before="0" w:beforeAutospacing="0" w:after="0" w:afterAutospacing="0" w:line="480" w:lineRule="auto"/>
        <w:ind w:firstLine="480"/>
        <w:jc w:val="center"/>
        <w:rPr>
          <w:rFonts w:ascii="microsoft yahei" w:hAnsi="microsoft yahei"/>
          <w:color w:val="333333"/>
          <w:sz w:val="21"/>
          <w:szCs w:val="21"/>
        </w:rPr>
      </w:pPr>
      <w:r>
        <w:rPr>
          <w:rStyle w:val="a4"/>
          <w:rFonts w:hint="eastAsia"/>
          <w:color w:val="333333"/>
          <w:sz w:val="36"/>
          <w:szCs w:val="36"/>
        </w:rPr>
        <w:t>六盘水市实施“百企改造”工程促进工业转型升级方案</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为贯彻落实《省人民政府办公厅关于印发贵州省实施“千企改造”工程促进工业全面转型升级方案的通知》(黔府办发〔2016〕28号)精神，促进全市工业提质增效、转型升级，提高企业核心竞争力，推动全市工业经济更好更快发展，特制定本方案。</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一、总体要求、基本原则和主要目标</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(一)总体要求</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全面贯彻创新、协调、绿色、开放、共享的发展理念，适应经济新常态下加快转型升级的需要，以“稳增长、扩总量、优结构、促转型、增效益”为主线，以工业“百千万”工程为抓手，突出目标和问题导向，着力解决产业水平不高、企业实力不强、产品低端低值、要素成本偏高等结构性问题，加快推进信息化、绿色化、服务化改造，提高工业企业质量和效益，扩大有效供给，全力推动工业经济发展迈上新台阶。</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lastRenderedPageBreak/>
        <w:t>(二)基本原则</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坚持企业主体，政府引导。充分发挥企业在改造升级中的主体作用，坚持以市场为主、政府引领为辅，积极引导企业利用大数据、“互联网+”、智能制造等新技术、新模式、新业态，有意识、有计划地加快转型升级步伐，加快实现由低水平供需平衡向高水平供需平衡的跃升，打造高端产业主体。坚持分类指导、一企一策，引导督促所有企业进行技术改造升级，不断优化全市产业结构。</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坚持一步到位，全面展开。市、县两级联动，全面实施“百企改造”工程，对全市所有工业企业转型升级进行统筹管理，指导和帮助企业制定转型升级方案，针对每个企业提出具体的转型升级改造路线图、时间表，实现改造升级全覆盖。</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坚持创新引领，提升水平。瞄准世界一流，找准行业标杆，推动大数据等新一代信息技术与企业发展深度融合，积极引进国内外先进技术，加快提升自动化、数字化、绿色化水平，推动产品创新、生产技术创新、商业模式创新。</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(三)主要目标</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十三五”期间，实现全市所有规模以上工业企业改造升级全覆盖，每年培育60户以上科技型、高成长型中小微企业进入规模以上企业行列，每年完成100户以上企业改造任务，引领和带动全市所有工业企业实现提质改造转型升级。2016年底前，完成所有规模以上工业企业转型升级方案制定工作。</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智能制造和信息化发展加快。到2020年，“百企改造”工程重点企业数字化研发设计工具普及率、关键工序数控化率分别达到70%和60%;重点企业电子商务应用全覆盖;企业数字化、网络化、智能化、服务化水平全面提升，力争培育一批信息化水平达到国内和国际同行业先进水平的骨干企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lastRenderedPageBreak/>
        <w:t>——技术改造和研发投入增加。“十三五”期间，工业技术改造投资年均增长达到20%，累计投资达到700亿元，占工业投资比重每年提高2个百分点左右;到2020年，规模以上工业企业研究与开发经费支出占主营业务收入的比重达到1.5%。</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质量效益生产水平提升。到2020年，制造业质量竞争力指数达到82;工业产品质量合格率稳步提高，规模以上企业产品质量抽查合格率稳定在90%以上;规模以上工业利润总额年均增长10%以上，产品附加值持续提高，全员劳动生产率、资金利税率明显提高。</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绿色发展水平提高。到2020年，“百企改造”重点企业高效节能技术与装备使用率提高到50%左右，单位工业增加值能耗达到当年国家标准;主要污染物排放大幅削减，低碳、节能、节水、环境标志产品大幅增加，安全生产水平明显提升。</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二、推进步骤</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(一)开展调研摸底。按照“一企一策”的要求，通过调查研究，引导企业主动谋划项目，鼓励有市场、有效益、改造需求强烈的企业实施多项改造和高层次改造。</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二)动态调整实施。“百企改造”按照重点企业优先的原则，分批次、分步骤推进，改造名单动态补充和调整，每年年初制定下达“百企改造”年度工作计划，提出具体要求。按照改造意愿、改造能力、改造效果等对企业进行分类管理，力争当年建设、当年见效、当年受益。</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三、重点任务</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lastRenderedPageBreak/>
        <w:t>(一)推进企业提质增效。实施“调结构、补短板、增效益”专项，重点在能源、冶金、有色、化工、建材、白酒和装备制造等领域，加大技改投入，推进创新平台建设，提升企业研发水平。强化技术、管理、商业模式方面的创新，优化产品结构，提升企业发展质量和效益，促进产业转型升级。每年实施10个亿元以上重点技术改造工程，通过高起点、持续的技术改造，不断提升企业技术装备和工艺质量整体水平。到2020年，新增10个以上省级工程(技术)研究中心、重点(工程)实验室、企业技术中心和技术创新示范企业。(责任单位：市经济和信息化委、市发展改革委、市科技局、市国土资源局、市能源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二)加强企业产品创新。实施“增品种、提品质、创品牌”专项，每年组织一批企业进行产品升级换代，推进精益制造，改进工艺流程，大力发展新能源、煤层气(瓦斯)、玄武岩纤维制品、高强度铝合金等一批重点产品;在化工、建材、电子信息、新材料、“五张名片”等重点领域每年组织10户以上企业推广先进质量管理技术和方法，提高产品质量;引导企业制定品牌管理体系，打造一批国际品牌、中国驰名商标和中国质量奖产品。到2020年，新产品产值突破80亿。(责任单位：市经济和信息化委、市科技局、市质监局、市食品药品监管局、市发展改革委、市工商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三)加快企业绿色发展。实施“节能环保与安全改造”专项，支持企业运用高新技术、节能环保技术、清洁生产技术及先进适用技术，推广余热余压回收、水循环利用等绿色工艺，大力推进能源、冶金、有色、建材等行业重点企业脱硫脱硝除尘设施建设和绿色化改造。推进资源循环化利用，大幅提高煤矸石、粉煤灰等大宗固体废弃物综合利用水平。每年确定一批企业加强工业控制系统生产工艺和装备的技术改造，提升工业企业安全水平。开展资源节约型、环境友好型企</w:t>
      </w:r>
      <w:r>
        <w:rPr>
          <w:rFonts w:hint="eastAsia"/>
          <w:color w:val="333333"/>
        </w:rPr>
        <w:lastRenderedPageBreak/>
        <w:t>业试点示范，到2020年，创建2家绿色产业园区和5家绿色示范企业。(责任单位：市环境保护局、市经济和信息化委、市发展改革委、市能源局、市安全监管局)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四)加快企业服务化转变。支持企业发展行业网络协同制造，搭建基于大数据、“互联网+”的主动营销与服务平台，引导企业开发服务型产品，延长产业链，提高附加值，提升供应链效率。构建以互联网为依托的产业体系，推进制造业、服务业融合发展，催生一批增量服务制造和生产性服务企业，丰富新业态，加速制造业服务化转型。争取每年支持1家企业开展个性化定制试点，支持1家传统制造企业优化供应链管理试点，支持5家制造企业开展制造模式创新试点。(责任单位：市经济和信息化委、市商务粮食局、市发展改革委、市科技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五)强化企业信息化改造。实施“智能制造与两化融合”专项，运用大数据、“互联网+”、智能制造等先进手段对企业实施改造升级。每年组织实施1个以上省级智能制造试点示范项目，积极争取国家级智能制造试点示范项目;推动新一代信息技术在企业研发设计、生产制造、经营管理、售后服务等环节的应用，提升企业信息化水平。(责任单位：市经济和信息化委、市发展改革委、市科技局、市能源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六)提升大数据服务转型升级水平。实施“大数据服务企业转型升级”专项，搭建大数据与产业、园区、企业对接平台，分行业对我市重点行业、重点企业进行会诊，梳理发展存在的问题和痛点，提出大数据应用和产业转型方案，带动行业运用大数据实现转型升级。依托“工业云”搭建“众包”平台，常态化收集企业需求和发展难题，并在平台上公开发布，面向全社会征集解决方案、寻求合作伙伴，通过搭建线上交流合作平台，促进市内企业与全球大数据企业深化合作，</w:t>
      </w:r>
      <w:r>
        <w:rPr>
          <w:rFonts w:hint="eastAsia"/>
          <w:color w:val="333333"/>
        </w:rPr>
        <w:lastRenderedPageBreak/>
        <w:t>打造基于大数据服务企业转型升级专项行动对接平台。(责任单位：市经济和信息化委)</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七)加快矿井采掘机械化改造。实施煤矿企业转型升级专项，通过推进“六化”矿井建设，加快现代化大、中型矿井配套建设，提升培育一批优强煤炭企业，按照“减量重组或等量重组”的要求，实行分类处置，支持优强主体企业集团实施兼并重组，优化产业布局，推广绿色开采，统筹煤炭开采和煤层气(瓦斯)开发利用规划，促进传统煤炭产业健康有序发展，转变生产方式，调整商品结构，推进商品煤分级、分质利用，加快煤炭交易电子商务平台建设，降低交易成本、提高交易效率，增强产品市场竞争力。(责任单位：市能源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四、工作措施</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一)建立项目审批绿色通道。全市各级发改、经信、规划、国土、环保等行政主管部门要建立“百企改造”工程项目审批绿色通道，实行并联审批和联审联批机制，强化审批衔接，优化工作流程，在规定的办结时限内完成相关审批工作，提高项目前期手续办理效率。严格按照国家产业政策和能耗、环保、质量、安全等行业标准规范，倒逼企业转型升级，严防借“百企改造”工程扩大落后产能和过剩产能。(责任单位：市发展改革委、市经济和信息化委、市国土资源局、市环境保护局、市住房城乡建设局、市质监局、市安全监管局、市食品药品监管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二)加大资金支持力度。引导社会资本和鼓励银行资金向实体经济倾斜，加大对企业技术改造的资金支持，争取每年吸引各类资本投资100亿元以上，用于支持全市工业企业的技改升级。开展多方位、多层次、多形式的融资洽谈活动，每年向金融机构推荐100个以上技改融资项目。建立财政投放长效机制，发挥市、</w:t>
      </w:r>
      <w:r>
        <w:rPr>
          <w:rFonts w:hint="eastAsia"/>
          <w:color w:val="333333"/>
        </w:rPr>
        <w:lastRenderedPageBreak/>
        <w:t>县两级财政专项资金导向作用，统筹各级各有关部门专项资金，每年安排一定比例资金，用于支持企业技术改造和转型升级，撬动更多社会资本支持企业转型升级。积极组织申报国家、省级重大专项，争取更多政策和资金支持，力争5年内争取省级工业和信息化发展资金等财政专项资金累计达到4亿元。(责任单位：市经济和信息化委、市发展改革委、市科技局、市财政局、市政府金融办、市国土资源局、市环境保护局、市商务粮食局、市能源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三)落实税收优惠政策。坚决执行国家、省相关税收政策，经认定为高新技术的企业，落实15%税率征收企业所得税政策。企业为开发新技术、新产品、新工艺发生的研究开发费用，未形成无形资产计入当期损益的，在按规定据实扣除的基础上，落实研究开发费用的50%加计扣除政策。形成无形资产的，落实无形资产成本的150%在税前摊销政策。充分利用好营改增政策，加大政策宣传解读和落实力度，增强企业改造升级的动力。对引进先进技术和设备的企业，按有关规定享受税收优惠政策。(责任单位：市财政局、市国税局、市地税局、市科技局、市经济和信息化委、市发展改革委)</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四)强化建设用地保障。用好用活工业用地相关政策，针对工业发展重点转型升级项目，用地优先列入城乡规划、土地利用总体规划和年度计划，优先保障土地供应，且土地出让底价可按不低于《工业用地出让最低价标准》的70%确定;充分利用国家有关政策，统筹安排用地计划指标、城乡建设用地增减挂钩、工矿废弃地复垦利用等土地综合整治结余建设用地指标，实行用地指标“点供”。(责任单位：市国土资源局、市规划局、市财政局、市地税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lastRenderedPageBreak/>
        <w:t>(五)建立政策倒逼机制。利用电力改革优惠政策，倒逼企业转型升级，对于不实施转型升级的企业，依法予以处理。按照国家、省和市安全生产规定，组织安全生产检查，对达不到安全生产条件及存在安全生产重大隐患的企业，督促企业实施安全生产改造。根据国家环保法，严格规定企业环保标准和条件，对达不到环保要求的企业，督促企业制定整改方案实施环保改造。按照国家限额标准和我省节约能源条例，推动企业降低能耗，更新生产工艺，促进企业节能降耗改造。进行重点工业产品质量抽检，对达不到质量标准的企业和产品，督促企业制定整改方案，实施产品质量提升改造。(责任单位：市经济和信息化委、市环境保护局、市质监局、市安全监管局、市食品药品监管局)</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五、组织实施</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一)加强组织领导。建立由市政府分管副市长担任召集人的联席会议制度，统筹部署“百企改造”相关工作，联席会议办公室设在市经济和信息化委，负责日常联络、情况汇总、项目清单分类、专项资金支持、问题梳理、信息报送等工作。各县(特区、区)人民政府、钟山经济开发区管委会要按照属地管理、分级负责的要求对辖区企业技术改造工作负总责，要把符合条件的企业纳入本地改造计划，扎实做好企业改造各项组织工作，形成一级抓一级、一级对一级的工作体系，确保取得预期效果。各级“百企改造”工程领导小组办公室要加强对“百企改造”工作的统筹安排，调度协调。(责任单位：市经济和信息化委，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二)注重项目推进。依托省“工业云”调度平台，建立完善全市统一的企业改造提质转型升级项目库，明确企业名单、改造内容和预期效果，逐年滚动实施。鼓励企业随时在线申报和填报项目进展信息。建立市、县两级联动服务跟踪机制，</w:t>
      </w:r>
      <w:r>
        <w:rPr>
          <w:rFonts w:hint="eastAsia"/>
          <w:color w:val="333333"/>
        </w:rPr>
        <w:lastRenderedPageBreak/>
        <w:t>市级重点调度服务投资额5000万元以上企业改造项目，县级重点调度服务投资额5000万元以下的企业改造项目。对所有规模以上工业企业制定转型升级方案，实行改造项目动态化管理，确保改造项目开工一批、建成一批、投产一批、储备一批、谋划一批。(责任单位：市经济和信息化委、市发展改革委、市能源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三)强化工作指导。密切跟踪国内外产业发展动态和国家、省产业政策，结合我市产业基础条件，根据省级下发的煤炭、电力、有色、冶金、建材、装备制造、特色食品、电子信息等重点产业的转型升级方案，扎实推进各项工作。各级、各有关部门要按照“一企一策”的要求，形成一个重点企业、一名领导对位服务、一个专班工作团队的机制，逐个企业进行研究，帮助指导企业做好转型升级工作。(责任单位：市经济和信息化委、市能源局、市住房城乡建设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四)抓好服务企业。将“百企改造”工程重点项目纳入全市“百千万”工程平台同步服务，建立问题协调解决机制。积极组织企业参加各类人才博览会、人才招聘等活动，加大专业人才培训力度，创新高端人才的引进及使用模式，建立人才库，为企业提供智力支撑。各级各有关部门要认真贯彻落实国家、省和市近年来出台的一系列支持工业产业和企业发展的政策文件，促进工业企业加快发展。(责任单位：市经济和信息化委、市财政局、市发展改革委、市人力资源社会保障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五)强化监督考核。市“百企改造”工程联席会议将定期组织召开会议，研究各地各部门实施“百企改造”工程推动相关工作情况，并及时形成专题报告报市人民政府。各地各部门要按照职责分工，加强跟踪调度和督促检查，推动各项</w:t>
      </w:r>
      <w:r>
        <w:rPr>
          <w:rFonts w:hint="eastAsia"/>
          <w:color w:val="333333"/>
        </w:rPr>
        <w:lastRenderedPageBreak/>
        <w:t>措施落实，并于每月5日前将“百企改造”工程工作推进情况报市“百企改造”工程联席会议办公室，市“百企改造”工程联席会议办公室整理汇总后定期进行通报。对“百企改造”工程扶持不力，措施不当的单位，市“百企改造”工程联席会议办公室将会同市委市政府督查室等相关单位进行专项督查，督查结果报市目标办和市直目标办，作为目标绩效管理考核的重要依据;对存在不作为、慢作为导致工作严重滞后的，将按有关规定和程序提请问责。(责任单位：市委市政府督查室、市经济和信息化委、市财政局，各县〔特区、区〕人民政府、钟山经济开发区管委会)</w:t>
      </w:r>
    </w:p>
    <w:p w:rsidR="00D10305" w:rsidRDefault="00D10305" w:rsidP="00D10305">
      <w:pPr>
        <w:pStyle w:val="a3"/>
        <w:shd w:val="clear" w:color="auto" w:fill="FFFFFF"/>
        <w:spacing w:before="0" w:beforeAutospacing="0" w:after="0" w:afterAutospacing="0" w:line="480" w:lineRule="auto"/>
        <w:ind w:firstLine="480"/>
        <w:rPr>
          <w:rFonts w:ascii="microsoft yahei" w:hAnsi="microsoft yahei"/>
          <w:color w:val="333333"/>
          <w:sz w:val="21"/>
          <w:szCs w:val="21"/>
        </w:rPr>
      </w:pPr>
      <w:r>
        <w:rPr>
          <w:rFonts w:hint="eastAsia"/>
          <w:color w:val="333333"/>
        </w:rPr>
        <w:t>(六)加大宣传力度。加大对“百企改造”工程的宣传力度，通过电视、网络、报纸、海报等媒介宣传报道建设成果、典型经验等，努力营造实施“百企改造”工程的良好氛围。(责任单位：市经济和信息化委，各县〔特区、区〕人民政府、钟山经济开发区管委会)</w:t>
      </w:r>
    </w:p>
    <w:p w:rsidR="006140F2" w:rsidRDefault="006140F2"/>
    <w:sectPr w:rsidR="00614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E8"/>
    <w:rsid w:val="002E7CE8"/>
    <w:rsid w:val="006140F2"/>
    <w:rsid w:val="00D1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03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0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03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0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2018-05-21T13:15:00Z</dcterms:created>
  <dcterms:modified xsi:type="dcterms:W3CDTF">2018-05-21T13:15:00Z</dcterms:modified>
</cp:coreProperties>
</file>