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C2" w:rsidRPr="001066C2" w:rsidRDefault="001066C2" w:rsidP="001066C2">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1066C2">
        <w:rPr>
          <w:rFonts w:ascii="微软雅黑" w:eastAsia="微软雅黑" w:hAnsi="微软雅黑" w:cs="宋体" w:hint="eastAsia"/>
          <w:color w:val="212121"/>
          <w:kern w:val="36"/>
          <w:sz w:val="45"/>
          <w:szCs w:val="45"/>
        </w:rPr>
        <w:t>酉阳自治县招商引资优惠政策(试行)</w:t>
      </w:r>
    </w:p>
    <w:bookmarkEnd w:id="0"/>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为了进一步扩大开放，鼓励和吸引外来投资，促进县域经济持续健康发展，特制定如下招商引资优惠政策。</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一、企业引进及准入</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一）简化企业登记审批手续。除国家法律法规及相关产业政策规定必须核准的外，所有社会投资全部实行备案制。所有项目的登记审批手续严格按程序办理，国家法律法规未明确规定前置许可的，不得作为企业开业登记的前置条件。</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二、土地政策</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新进园区的工业和物流项目土地一律实行招标、拍卖或者挂牌方式出让，土地出让综合价为10万元/亩（超出10万元的成本部分以及按上级政策必须计提的基金费用，由企业承担），严格执行30/50亿元的投入产出标准，且1亿元以内的项目在1年内建成投产，1亿元以上的项目在2年内建成投产，项目建设时间从项目正式协议签订之日算起。对固定资产投入超亿元的项目，由财政全额补贴项目业主所交纳的土地综合价10万元/亩；对固定资产投入5000万元—1亿元的，由财政补贴5万元/亩；对固定资产投入3000—5000万元的，由财政补贴3万元/亩。上述财政补贴待项目投资完成并经有资质的中介机构评审确认后，由县财政从项目交纳税收的地方留成部分中逐年返还。园区综合用地出让综合价不低于60万元/亩（楼面地价不低于420元/㎡），公益事业建设用地实行“一事一议”。同时，对实际投资额超过1亿元的项目，按照项目发展规划预留建设用地，留足发展空间。所提供的土地不得改变用途，不得转让，使用期限30年。企业法人变更时，需报县政府有关部门审查同意。凡不能按规定时限建成投产达效的项目取消一切优惠政策。</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lastRenderedPageBreak/>
        <w:t>（三）投资能源、交通、水利、市政基础设施、社会公益事业，除经营性土地外，可以采取划拨的方式取得土地使用权；在园区外投资生产经营型项目，符合土地利用总体规划的企业用地，可由县国土房管部门确认最低出让价格（以新增建设用地土地有偿使用费、耕地开垦费、征地补偿费、拆迁费、安置费、青苗补偿费、规划费、土地出让金及其他有关税费之和为基价），并报经县政府审核批准后，以招标、拍卖或者挂牌方式取得土地使用权。</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（四）对固定资产投资1000万元以上的专业市场给予优先供地，由县国土房管部门确定最低出让价，并报经县政府审核批准后，以招标、拍卖或者挂牌方式取得土地使用权。</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三、税费优惠及财政扶持</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（五）在园区租用标准厂房和标准仓储的</w:t>
      </w:r>
      <w:proofErr w:type="gramStart"/>
      <w:r w:rsidRPr="001066C2">
        <w:rPr>
          <w:rFonts w:ascii="宋体" w:eastAsia="宋体" w:hAnsi="宋体" w:cs="宋体" w:hint="eastAsia"/>
          <w:color w:val="333333"/>
          <w:kern w:val="0"/>
          <w:szCs w:val="21"/>
        </w:rPr>
        <w:t>非资源</w:t>
      </w:r>
      <w:proofErr w:type="gramEnd"/>
      <w:r w:rsidRPr="001066C2">
        <w:rPr>
          <w:rFonts w:ascii="宋体" w:eastAsia="宋体" w:hAnsi="宋体" w:cs="宋体" w:hint="eastAsia"/>
          <w:color w:val="333333"/>
          <w:kern w:val="0"/>
          <w:szCs w:val="21"/>
        </w:rPr>
        <w:t>性加工投资项目，固定资产投资500—1000万元的企业，免收1年租金；固定资产投资1000—3000万元的企业，免收2年租金；固定资产投资3000—5000万元的企业，免收3年租金；固定资产投资5000万元—1亿元的企业，免收4年租金；固定资产投资1亿元以上的企业，免收5年租金。其中：小坝全民创业园固定资产投资100—300万的企业，免收1年租金；固定资产投资300—500万元的企业，免收2年租金；固定资产投资500万元以上的企业，免收3年租金。每投资100万元，园区则按高新技术产业和劳动密集型产业不得超出400平方米、一般加工工业不得超出300平方米的标准提供标准厂房，超额部分租金由投资业主自行承担。</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（六）税率及地方留成部分的界定。增值税的分享比例为中央75%、地方25%；企业所得税的分享比例为中央60%、地方40%。新办符合国家鼓励类产业目录的产业或企业执行西部大开发15%的企业所得税优惠税率。</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七）行政事业性收费实行“收支两条线，先征后奖”政策。严格控制行政事业性收费（城市建设配套费和教育费附加除外），达到规定投资强度要求的项目，凡国务院、市政府明确规定上缴的行政事业性收费一律按下限收取。县内留成部分按规定下限的50%收取，其中亿元以上项目和总部经济企业全部予以奖励扶持。</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（八）新办企业用工除如实申报缴纳社会保险费外，免缴其他用工行政性收费。招用下岗失业人员，按国家再就业政策规定减免企业所得税、营业税、教育费附加等税费，同时享受国家相关就业再就业补贴。</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九）探矿权人投资勘查并探明具有开采价值的矿产后，可优先依法获得采矿权。在依法勘查区域内探明可供开采矿床的地质勘查费用，在该矿床进入商业开采后，可作为递延资产，税前逐年分期摊销。综合开采回收共、伴生矿，应用新技术、新工艺勘查、开采、冶选低品位、老矿区尾矿矿产资源的，前3年企业实际缴纳税收县级所得部分全部奖励扶持给企业用于补充流动资金不足及扩大再生产。</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以兼并、收购、入股等方式改制的公有企业，在不改变土地使用性质的情况下，只收取房屋所有权、土地使用权转移登记手续工本费和契税；土地出让金按“收支两条线”原则先征后返，全额返还地方财政所得部分。兼并、收购公有企业股权，并采取有效措施盘活老、困、衰公有企业的，自兼并、收购之日起3年内企业实际缴纳税收县级所得部分全部奖励扶持给企业用于补充流动资金不足及扩大再生产。</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一）世界500强、国家500强、重庆50强工业和服务业企业、国内外知名品牌企业、高新技术企业（报县级相关部门审核，市级及以上主管部门认定）以及年入库税收在1000万元或固定资产投资达5000万元以上的企业，来</w:t>
      </w:r>
      <w:proofErr w:type="gramStart"/>
      <w:r w:rsidRPr="001066C2">
        <w:rPr>
          <w:rFonts w:ascii="宋体" w:eastAsia="宋体" w:hAnsi="宋体" w:cs="宋体" w:hint="eastAsia"/>
          <w:color w:val="333333"/>
          <w:kern w:val="0"/>
          <w:szCs w:val="21"/>
        </w:rPr>
        <w:t>酉</w:t>
      </w:r>
      <w:proofErr w:type="gramEnd"/>
      <w:r w:rsidRPr="001066C2">
        <w:rPr>
          <w:rFonts w:ascii="宋体" w:eastAsia="宋体" w:hAnsi="宋体" w:cs="宋体" w:hint="eastAsia"/>
          <w:color w:val="333333"/>
          <w:kern w:val="0"/>
          <w:szCs w:val="21"/>
        </w:rPr>
        <w:t>投资项目实行以“项目带政策”，由县政府按“</w:t>
      </w:r>
      <w:proofErr w:type="gramStart"/>
      <w:r w:rsidRPr="001066C2">
        <w:rPr>
          <w:rFonts w:ascii="宋体" w:eastAsia="宋体" w:hAnsi="宋体" w:cs="宋体" w:hint="eastAsia"/>
          <w:color w:val="333333"/>
          <w:kern w:val="0"/>
          <w:szCs w:val="21"/>
        </w:rPr>
        <w:t>一</w:t>
      </w:r>
      <w:proofErr w:type="gramEnd"/>
      <w:r w:rsidRPr="001066C2">
        <w:rPr>
          <w:rFonts w:ascii="宋体" w:eastAsia="宋体" w:hAnsi="宋体" w:cs="宋体" w:hint="eastAsia"/>
          <w:color w:val="333333"/>
          <w:kern w:val="0"/>
          <w:szCs w:val="21"/>
        </w:rPr>
        <w:t>企</w:t>
      </w:r>
      <w:proofErr w:type="gramStart"/>
      <w:r w:rsidRPr="001066C2">
        <w:rPr>
          <w:rFonts w:ascii="宋体" w:eastAsia="宋体" w:hAnsi="宋体" w:cs="宋体" w:hint="eastAsia"/>
          <w:color w:val="333333"/>
          <w:kern w:val="0"/>
          <w:szCs w:val="21"/>
        </w:rPr>
        <w:t>一</w:t>
      </w:r>
      <w:proofErr w:type="gramEnd"/>
      <w:r w:rsidRPr="001066C2">
        <w:rPr>
          <w:rFonts w:ascii="宋体" w:eastAsia="宋体" w:hAnsi="宋体" w:cs="宋体" w:hint="eastAsia"/>
          <w:color w:val="333333"/>
          <w:kern w:val="0"/>
          <w:szCs w:val="21"/>
        </w:rPr>
        <w:t>策”、“一事一议”、“</w:t>
      </w:r>
      <w:proofErr w:type="gramStart"/>
      <w:r w:rsidRPr="001066C2">
        <w:rPr>
          <w:rFonts w:ascii="宋体" w:eastAsia="宋体" w:hAnsi="宋体" w:cs="宋体" w:hint="eastAsia"/>
          <w:color w:val="333333"/>
          <w:kern w:val="0"/>
          <w:szCs w:val="21"/>
        </w:rPr>
        <w:t>特</w:t>
      </w:r>
      <w:proofErr w:type="gramEnd"/>
      <w:r w:rsidRPr="001066C2">
        <w:rPr>
          <w:rFonts w:ascii="宋体" w:eastAsia="宋体" w:hAnsi="宋体" w:cs="宋体" w:hint="eastAsia"/>
          <w:color w:val="333333"/>
          <w:kern w:val="0"/>
          <w:szCs w:val="21"/>
        </w:rPr>
        <w:t>事特办”的方式，另行议定鼓励、激励政策。</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二）企业、事业单位进行技术转让，以及在技术转让过程中发生的与技术转让有关的技术咨询、技术服务、技术培训所得，年净收入在500万元以下的，免征企业所得税，超过500万元的部分，减半征收企业所得税。</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三）对新办工业企业按税收贡献情况给予三年财政奖励扶持，支持企业补充流动资金不足及扩大再生产，其中：增值税每年按入库总额的35%奖励扶持；其他各税地方留成部分（不含教育费附加和地方教育费附加）每年按年入库总额的50%奖励扶持。</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对新办工业企业高级管理人员（限董事长、总经理、副总经理）在酉阳缴纳的薪金个人所得税款，按县级实得部分奖励给个人。</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四）入驻总部经济企业年入库税收在150万元以上的（其中：咨询、劳务、勘查设计、中介服务公司入库税收在100万元以上，旅游公司入库税收在30万元以上）给予三年财政奖励扶持，支持企业补充流动资金不足及扩大再生产，其中：增值税每年按入库总额的25%奖励扶持；另外，从第二年起，以上一年企业缴纳的增值税为基数，超基数部分在原奖励比例基础上再增加5%的比例进行奖励扶持；其他各税地方留成部分（不含教育费附加和地方教育费附加）每年按年入库总额的50%奖励扶持。</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总部经济企业高级管理人员（仅限于董事长、总经理、副总经理）缴纳的薪金个人所得税，按照县级实得部分奖励给个人。</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对入驻总部经济的个人独资及合伙企业，缴纳的个人所得税比照企业所得税奖励政策执行。</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（十五）对新办固定资产投资1000万元以上的专业市场和固定资产投资500万元以上的服务业企业（不含房地产、酒店服务业）实行三年财政奖励扶持政策，每年按入库税收地方留成部分的50%进行奖励扶持。</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（十六）对在工业园区投资修建厂房产生的建安营业税实行财政全额返还。</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（十七）以上政策优惠如遇上级政策调整以及与县级相关政策交叉重叠，按最优惠政策执行。对原招商引资企业按上述优惠政策对应年限延续执行，其中原总部经济企业从2013年起按上述优惠政策延续执行三年。</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四、奖励政策</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八）新建、改扩建等固定资产一次性投资1000万元以上的生产性项目和固定资产投资500万元以上的商贸流通项目（不含房地产、酒店服务业），申请流动资金贷款时，县政府可安排一定数额贴息补助资金，其中生产项目贴息时间2年，商贸流通项目贴息时间1年。</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（十九）凡县内企业获得质监、工商等部门认定的国家级名牌产品、地理标志产品、中国驰名商标，政府给予20万元奖励；获得质监、工商等部门认定的市级名牌产品、市级著名商标，政府给予10万元奖励。</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县政府给予招商引资单位或个人奖励。凡经单位和个人介绍（需报县招商引资考核中心审核，县政府认定）引进新建固定资产投资500万元以上的企业（不含房地产、酒店服务业）和一次性固定资产投资1000万元以上的国家非限制类其他项目，在规定时间建成投产达效后，县政府按确认的固定资产投资总额的3‰给予相关单位或个人一次性奖励。该奖项是指未纳入相关招商引资责任单位考核项目。</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五、申报审批程序</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（二十一）协议签订审核。所有招商引资协议由县政府法制办审核后，再由招商引资单位与企业签订。</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二）财政奖励扶持资金兑现程序。由招商引资企业在协议确定兑现时间的当月20日前向县财政提出申请，县财政汇同税务部门共同审核后报县政府审批，并于次月10日前兑现。对奖励扶持资金一律用于企业补充流动资金不足或用于扩大再生产。属于园区范围的招商引资企业，奖励扶持资金先拨付园区管委会，再由园区管委会兑现给企业，由园区管委会和财政局共同加强对奖励扶持资金的监管。</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三）其他优惠政策的兑现。由招商引资企业向主管部门（园区内企业向各园区管委会）申请，主管部门会同相关部门按规定对企业所提交资料审核后报县政府审批。需评审（审计）的项目，其评审、审计费用先由企业垫缴，县财政按程序奖励扶持给企业。</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六、服务保障</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四）实行“一站式”开办服务、“帮办式”建设服务、“保姆式”运行服务及限时办结制度。凡外来投资者在酉阳投资置业，统一由县工业园区管委会企业服务中心负责代办工商登记、税务登记及组织机构代码办理等开办手续；项目建设中相关手续的办理由各招商引资责任单位和相关园区管委会负责全程服务；项目建设投产后由各相关园区管委会明确专人提供运行服务；</w:t>
      </w:r>
      <w:proofErr w:type="gramStart"/>
      <w:r w:rsidRPr="001066C2">
        <w:rPr>
          <w:rFonts w:ascii="宋体" w:eastAsia="宋体" w:hAnsi="宋体" w:cs="宋体" w:hint="eastAsia"/>
          <w:color w:val="333333"/>
          <w:kern w:val="0"/>
          <w:szCs w:val="21"/>
        </w:rPr>
        <w:t>凡项目</w:t>
      </w:r>
      <w:proofErr w:type="gramEnd"/>
      <w:r w:rsidRPr="001066C2">
        <w:rPr>
          <w:rFonts w:ascii="宋体" w:eastAsia="宋体" w:hAnsi="宋体" w:cs="宋体" w:hint="eastAsia"/>
          <w:color w:val="333333"/>
          <w:kern w:val="0"/>
          <w:szCs w:val="21"/>
        </w:rPr>
        <w:t>审批报件资料齐全且符合国家产业政策，各相关部门在职权范围内3个工作日内办理完毕。</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五）严查“三乱”行为。除案件侦查、税务稽查、安全、环保检查和抢险救灾外，任何部门和个人不得擅入企业检查。凡以检查、评比等理由向企业乱收费、乱罚款、乱摊派的，监察部门和主管部门要严肃查处。工业园区实行封闭管理，任何单位进入企业检查，事先必须报园区管委会备案，并接受园区管委会的监督。未经园区管委会同意，任何单位和个人不得进入企业检查和收费。</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（二十六）凡投资数额较大，并对我县经济建设和公益事业</w:t>
      </w:r>
      <w:proofErr w:type="gramStart"/>
      <w:r w:rsidRPr="001066C2">
        <w:rPr>
          <w:rFonts w:ascii="宋体" w:eastAsia="宋体" w:hAnsi="宋体" w:cs="宋体" w:hint="eastAsia"/>
          <w:color w:val="333333"/>
          <w:kern w:val="0"/>
          <w:szCs w:val="21"/>
        </w:rPr>
        <w:t>作出</w:t>
      </w:r>
      <w:proofErr w:type="gramEnd"/>
      <w:r w:rsidRPr="001066C2">
        <w:rPr>
          <w:rFonts w:ascii="宋体" w:eastAsia="宋体" w:hAnsi="宋体" w:cs="宋体" w:hint="eastAsia"/>
          <w:color w:val="333333"/>
          <w:kern w:val="0"/>
          <w:szCs w:val="21"/>
        </w:rPr>
        <w:t>重大贡献的外来投资者，授予“荣誉市民”的称号，特邀出席我县的重大庆典和会议。</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（二十七）以上优惠政策兑现流程按有关规定实施，需由市级相关部门办理的，必须在7个工作日内转报，并派专人跟踪负责。凡来我县从事资源加工的企业视情况确定是否予以税费优惠及财政扶持。</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六、附则</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（二十八）本优惠政策由县投资促进办负责解释。</w:t>
      </w:r>
    </w:p>
    <w:p w:rsidR="001066C2" w:rsidRPr="001066C2" w:rsidRDefault="001066C2" w:rsidP="001066C2">
      <w:pPr>
        <w:widowControl/>
        <w:shd w:val="clear" w:color="auto" w:fill="FFFFFF"/>
        <w:spacing w:line="480" w:lineRule="auto"/>
        <w:ind w:firstLine="480"/>
        <w:rPr>
          <w:rFonts w:ascii="宋体" w:eastAsia="宋体" w:hAnsi="宋体" w:cs="宋体" w:hint="eastAsia"/>
          <w:color w:val="333333"/>
          <w:kern w:val="0"/>
          <w:szCs w:val="21"/>
        </w:rPr>
      </w:pPr>
      <w:r w:rsidRPr="001066C2">
        <w:rPr>
          <w:rFonts w:ascii="宋体" w:eastAsia="宋体" w:hAnsi="宋体" w:cs="宋体" w:hint="eastAsia"/>
          <w:color w:val="333333"/>
          <w:kern w:val="0"/>
          <w:szCs w:val="21"/>
        </w:rPr>
        <w:t>（二十九）本优惠政策从发文之日起执行。《关于印发&lt;酉阳自治县招商引资优惠政策（试行）&gt;的通知》（酉阳委发〔2011〕41号）和《关于进一步鼓励企业做大做强的意见（试行）》（酉阳委发〔2008〕62号）同时废止。</w:t>
      </w:r>
    </w:p>
    <w:p w:rsidR="00AE5A00" w:rsidRDefault="00AE5A00"/>
    <w:sectPr w:rsidR="00AE5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C2"/>
    <w:rsid w:val="001066C2"/>
    <w:rsid w:val="00AE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1A4CB-8BAA-439F-BD40-5774474A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066C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066C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066C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066C2"/>
    <w:rPr>
      <w:rFonts w:ascii="宋体" w:eastAsia="宋体" w:hAnsi="宋体" w:cs="宋体"/>
      <w:b/>
      <w:bCs/>
      <w:kern w:val="36"/>
      <w:sz w:val="48"/>
      <w:szCs w:val="48"/>
    </w:rPr>
  </w:style>
  <w:style w:type="character" w:customStyle="1" w:styleId="3Char">
    <w:name w:val="标题 3 Char"/>
    <w:basedOn w:val="a0"/>
    <w:link w:val="3"/>
    <w:uiPriority w:val="9"/>
    <w:rsid w:val="001066C2"/>
    <w:rPr>
      <w:rFonts w:ascii="宋体" w:eastAsia="宋体" w:hAnsi="宋体" w:cs="宋体"/>
      <w:b/>
      <w:bCs/>
      <w:kern w:val="0"/>
      <w:sz w:val="27"/>
      <w:szCs w:val="27"/>
    </w:rPr>
  </w:style>
  <w:style w:type="character" w:customStyle="1" w:styleId="4Char">
    <w:name w:val="标题 4 Char"/>
    <w:basedOn w:val="a0"/>
    <w:link w:val="4"/>
    <w:uiPriority w:val="9"/>
    <w:rsid w:val="001066C2"/>
    <w:rPr>
      <w:rFonts w:ascii="宋体" w:eastAsia="宋体" w:hAnsi="宋体" w:cs="宋体"/>
      <w:b/>
      <w:bCs/>
      <w:kern w:val="0"/>
      <w:sz w:val="24"/>
      <w:szCs w:val="24"/>
    </w:rPr>
  </w:style>
  <w:style w:type="character" w:styleId="a3">
    <w:name w:val="Hyperlink"/>
    <w:basedOn w:val="a0"/>
    <w:uiPriority w:val="99"/>
    <w:semiHidden/>
    <w:unhideWhenUsed/>
    <w:rsid w:val="001066C2"/>
    <w:rPr>
      <w:color w:val="0000FF"/>
      <w:u w:val="single"/>
    </w:rPr>
  </w:style>
  <w:style w:type="character" w:customStyle="1" w:styleId="apple-converted-space">
    <w:name w:val="apple-converted-space"/>
    <w:basedOn w:val="a0"/>
    <w:rsid w:val="001066C2"/>
  </w:style>
  <w:style w:type="paragraph" w:styleId="a4">
    <w:name w:val="Normal (Web)"/>
    <w:basedOn w:val="a"/>
    <w:uiPriority w:val="99"/>
    <w:semiHidden/>
    <w:unhideWhenUsed/>
    <w:rsid w:val="001066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37979">
      <w:bodyDiv w:val="1"/>
      <w:marLeft w:val="0"/>
      <w:marRight w:val="0"/>
      <w:marTop w:val="0"/>
      <w:marBottom w:val="0"/>
      <w:divBdr>
        <w:top w:val="none" w:sz="0" w:space="0" w:color="auto"/>
        <w:left w:val="none" w:sz="0" w:space="0" w:color="auto"/>
        <w:bottom w:val="none" w:sz="0" w:space="0" w:color="auto"/>
        <w:right w:val="none" w:sz="0" w:space="0" w:color="auto"/>
      </w:divBdr>
      <w:divsChild>
        <w:div w:id="1341352271">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2018-05-18T04:02:00Z</dcterms:created>
  <dcterms:modified xsi:type="dcterms:W3CDTF">2018-05-18T04:02:00Z</dcterms:modified>
</cp:coreProperties>
</file>