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B7D82" w14:textId="77777777" w:rsidR="002E586F" w:rsidRPr="002E586F" w:rsidRDefault="002E586F" w:rsidP="002E586F">
      <w:pPr>
        <w:widowControl/>
        <w:shd w:val="clear" w:color="auto" w:fill="FFFFFF"/>
        <w:spacing w:line="570" w:lineRule="atLeast"/>
        <w:jc w:val="center"/>
        <w:outlineLvl w:val="2"/>
        <w:rPr>
          <w:rFonts w:ascii="微软雅黑" w:eastAsia="微软雅黑" w:hAnsi="微软雅黑" w:cs="Times New Roman"/>
          <w:b/>
          <w:bCs/>
          <w:color w:val="333333"/>
          <w:kern w:val="0"/>
          <w:sz w:val="36"/>
          <w:szCs w:val="36"/>
        </w:rPr>
      </w:pPr>
      <w:bookmarkStart w:id="0" w:name="_GoBack"/>
      <w:r>
        <w:rPr>
          <w:rFonts w:ascii="微软雅黑" w:eastAsia="微软雅黑" w:hAnsi="微软雅黑" w:cs="Times New Roman" w:hint="eastAsia"/>
          <w:b/>
          <w:bCs/>
          <w:color w:val="333333"/>
          <w:kern w:val="0"/>
          <w:sz w:val="36"/>
          <w:szCs w:val="36"/>
        </w:rPr>
        <w:t>三</w:t>
      </w:r>
      <w:r w:rsidRPr="002E586F">
        <w:rPr>
          <w:rFonts w:ascii="微软雅黑" w:eastAsia="微软雅黑" w:hAnsi="微软雅黑" w:cs="Times New Roman" w:hint="eastAsia"/>
          <w:b/>
          <w:bCs/>
          <w:color w:val="333333"/>
          <w:kern w:val="0"/>
          <w:sz w:val="36"/>
          <w:szCs w:val="36"/>
        </w:rPr>
        <w:t>元区委区政府鼓励扶持引导非公有制经济发展若干规定（暂行）</w:t>
      </w:r>
      <w:bookmarkEnd w:id="0"/>
    </w:p>
    <w:p w14:paraId="260A9BD3" w14:textId="77777777" w:rsidR="002E586F" w:rsidRPr="002E586F" w:rsidRDefault="002E586F" w:rsidP="002E586F">
      <w:pPr>
        <w:widowControl/>
        <w:jc w:val="left"/>
        <w:rPr>
          <w:rFonts w:ascii="Times New Roman" w:eastAsia="Times New Roman" w:hAnsi="Times New Roman" w:cs="Times New Roman" w:hint="eastAsia"/>
          <w:kern w:val="0"/>
        </w:rPr>
      </w:pPr>
    </w:p>
    <w:p w14:paraId="0008BEF4" w14:textId="77777777" w:rsidR="002E586F" w:rsidRDefault="002E586F" w:rsidP="002E586F">
      <w:pPr>
        <w:pStyle w:val="a3"/>
        <w:shd w:val="clear" w:color="auto" w:fill="FFFFFF"/>
        <w:spacing w:before="0" w:beforeAutospacing="0" w:after="0" w:afterAutospacing="0" w:line="480" w:lineRule="atLeast"/>
        <w:jc w:val="center"/>
        <w:rPr>
          <w:rFonts w:ascii="宋体" w:eastAsia="宋体" w:hAnsi="宋体"/>
          <w:color w:val="333333"/>
        </w:rPr>
      </w:pPr>
      <w:r>
        <w:rPr>
          <w:rFonts w:ascii="MS Mincho" w:eastAsia="MS Mincho" w:hAnsi="MS Mincho" w:cs="MS Mincho"/>
          <w:color w:val="333333"/>
          <w:sz w:val="28"/>
          <w:szCs w:val="28"/>
        </w:rPr>
        <w:t>元委</w:t>
      </w:r>
      <w:r>
        <w:rPr>
          <w:rFonts w:ascii="SimSun" w:eastAsia="SimSun" w:hAnsi="SimSun" w:cs="SimSun"/>
          <w:color w:val="333333"/>
          <w:sz w:val="28"/>
          <w:szCs w:val="28"/>
        </w:rPr>
        <w:t>发</w:t>
      </w:r>
      <w:r>
        <w:rPr>
          <w:rFonts w:ascii="楷体_GB2312" w:eastAsia="楷体_GB2312" w:hAnsi="宋体" w:hint="eastAsia"/>
          <w:color w:val="333333"/>
          <w:sz w:val="28"/>
          <w:szCs w:val="28"/>
        </w:rPr>
        <w:t>〔</w:t>
      </w:r>
      <w:r>
        <w:rPr>
          <w:rFonts w:ascii="宋体" w:eastAsia="宋体" w:hAnsi="宋体" w:hint="eastAsia"/>
          <w:color w:val="333333"/>
        </w:rPr>
        <w:t>2011</w:t>
      </w:r>
      <w:r>
        <w:rPr>
          <w:rFonts w:ascii="楷体_GB2312" w:eastAsia="楷体_GB2312" w:hAnsi="宋体" w:hint="eastAsia"/>
          <w:color w:val="333333"/>
          <w:sz w:val="28"/>
          <w:szCs w:val="28"/>
        </w:rPr>
        <w:t>〕</w:t>
      </w:r>
      <w:r>
        <w:rPr>
          <w:rFonts w:ascii="宋体" w:eastAsia="宋体" w:hAnsi="宋体" w:hint="eastAsia"/>
          <w:color w:val="333333"/>
        </w:rPr>
        <w:t>14</w:t>
      </w:r>
      <w:r>
        <w:rPr>
          <w:rFonts w:ascii="MS Mincho" w:eastAsia="MS Mincho" w:hAnsi="MS Mincho" w:cs="MS Mincho"/>
          <w:color w:val="333333"/>
          <w:sz w:val="28"/>
          <w:szCs w:val="28"/>
        </w:rPr>
        <w:t>号</w:t>
      </w:r>
    </w:p>
    <w:p w14:paraId="6A924D30" w14:textId="77777777" w:rsidR="002E586F" w:rsidRDefault="002E586F" w:rsidP="002E586F">
      <w:pPr>
        <w:pStyle w:val="a3"/>
        <w:shd w:val="clear" w:color="auto" w:fill="FFFFFF"/>
        <w:spacing w:before="0" w:beforeAutospacing="0" w:after="0" w:afterAutospacing="0" w:line="480" w:lineRule="atLeast"/>
        <w:rPr>
          <w:rFonts w:ascii="宋体" w:eastAsia="宋体" w:hAnsi="宋体" w:hint="eastAsia"/>
          <w:color w:val="333333"/>
        </w:rPr>
      </w:pPr>
      <w:r>
        <w:rPr>
          <w:rFonts w:ascii="宋体" w:eastAsia="宋体" w:hAnsi="宋体" w:hint="eastAsia"/>
          <w:color w:val="333333"/>
        </w:rPr>
        <w:t>各乡镇、街道，区直各部门、非公有制企业：</w:t>
      </w:r>
    </w:p>
    <w:p w14:paraId="09A80D46"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为实施“做强产业、做大城区、做优环境”战略，进一步鼓励、扶持和保护我区非公有制经济发展，壮大区域经济，对于我区的非公有制经济组织除执行国家、省、市有关法律法规和享受各项优惠政策外，结合我区实际，特制定以下若干规定：</w:t>
      </w:r>
    </w:p>
    <w:p w14:paraId="0F11E796"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黑体" w:eastAsia="黑体" w:hAnsi="黑体" w:hint="eastAsia"/>
          <w:color w:val="333333"/>
        </w:rPr>
        <w:t>一、解放思想，营造发展氛围</w:t>
      </w:r>
    </w:p>
    <w:p w14:paraId="3CEE1EF6"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Tahoma" w:eastAsia="宋体" w:hAnsi="Tahoma" w:cs="Tahoma"/>
          <w:color w:val="333333"/>
        </w:rPr>
        <w:t>1. </w:t>
      </w:r>
      <w:r>
        <w:rPr>
          <w:rFonts w:ascii="宋体" w:eastAsia="宋体" w:hAnsi="宋体" w:hint="eastAsia"/>
          <w:color w:val="333333"/>
        </w:rPr>
        <w:t>把非公有制经济作为加快我区经济发展、增加财税收入、扩大社会就业、维护社会稳定的重要举措摆上更加突出的位置。进一步解放思想，切实转变政府各部门的工作作风，增强服务意识，努力营造守法经营的非公经济人士实现社会上有地位、政治上有荣誉、经济上有实惠的良好氛围，巩固我区亲商、安商、扶商、富商，创业、兴业、乐业的浓厚氛围。</w:t>
      </w:r>
    </w:p>
    <w:p w14:paraId="1626A96C"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Tahoma" w:eastAsia="宋体" w:hAnsi="Tahoma" w:cs="Tahoma"/>
          <w:color w:val="333333"/>
        </w:rPr>
        <w:t>2. </w:t>
      </w:r>
      <w:r>
        <w:rPr>
          <w:rFonts w:ascii="宋体" w:eastAsia="宋体" w:hAnsi="宋体" w:hint="eastAsia"/>
          <w:color w:val="333333"/>
        </w:rPr>
        <w:t>提高社会地位。注重推荐符合条件的非公有制经济组织中的代表人士，作为市区党代表、人大代表、政协委员和优秀人才的人选。区委、区政府召开的有关经济工作会议和全区重大的社会活动都要邀请有关非公经济代表参加。</w:t>
      </w:r>
    </w:p>
    <w:p w14:paraId="643E56D8"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黑体" w:eastAsia="黑体" w:hAnsi="黑体" w:hint="eastAsia"/>
          <w:color w:val="333333"/>
        </w:rPr>
        <w:t>二、全面放开发展，扩大投资领域</w:t>
      </w:r>
    </w:p>
    <w:p w14:paraId="469688AA"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Tahoma" w:eastAsia="宋体" w:hAnsi="Tahoma" w:cs="Tahoma"/>
          <w:color w:val="333333"/>
        </w:rPr>
        <w:t>3. </w:t>
      </w:r>
      <w:r>
        <w:rPr>
          <w:rFonts w:ascii="宋体" w:eastAsia="宋体" w:hAnsi="宋体" w:hint="eastAsia"/>
          <w:color w:val="333333"/>
        </w:rPr>
        <w:t>贯彻平等准入、公平待遇原则。允许非公有资本进入法律法规未禁入的行业和领域。非公企业在进出口、用地、财税扶持、人才引进、办理证照、收费、科研项目申报、技改贴息等政府专项扶持资金使用、进出口配额和出口退税等方面，享受与其它所有制企业同等待遇。</w:t>
      </w:r>
    </w:p>
    <w:p w14:paraId="1805C6B0"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Tahoma" w:eastAsia="宋体" w:hAnsi="Tahoma" w:cs="Tahoma"/>
          <w:color w:val="333333"/>
        </w:rPr>
        <w:t>4. </w:t>
      </w:r>
      <w:r>
        <w:rPr>
          <w:rFonts w:ascii="宋体" w:eastAsia="宋体" w:hAnsi="宋体" w:hint="eastAsia"/>
          <w:color w:val="333333"/>
        </w:rPr>
        <w:t>除国家法律、法规明令禁止投资外，投资者可以在我区自由投资和自主经营，不受行业、控制比例、投资形式、经营类别限制。在我区投资物流、交通、旅游、商贸、文化创意、教育卫生等第三产业，水利、能源等基础设施，农业综合开发（包括农产品深加工）、农业产业化、机械装备制造、纺织业、林产品精加工等行业，将予以优先鼓励扶持。</w:t>
      </w:r>
    </w:p>
    <w:p w14:paraId="30A41B1D"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黑体" w:eastAsia="黑体" w:hAnsi="黑体" w:hint="eastAsia"/>
          <w:color w:val="333333"/>
        </w:rPr>
        <w:lastRenderedPageBreak/>
        <w:t>三、推行优惠政策，鼓励扶持企业发展</w:t>
      </w:r>
    </w:p>
    <w:p w14:paraId="22B104D3"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Tahoma" w:eastAsia="宋体" w:hAnsi="Tahoma" w:cs="Tahoma"/>
          <w:color w:val="333333"/>
        </w:rPr>
        <w:t>5. </w:t>
      </w:r>
      <w:r>
        <w:rPr>
          <w:rFonts w:ascii="宋体" w:eastAsia="宋体" w:hAnsi="宋体" w:hint="eastAsia"/>
          <w:color w:val="333333"/>
        </w:rPr>
        <w:t>奖励政策</w:t>
      </w:r>
    </w:p>
    <w:p w14:paraId="7C12CB98"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1</w:t>
      </w:r>
      <w:r>
        <w:rPr>
          <w:rFonts w:ascii="宋体" w:eastAsia="宋体" w:hAnsi="宋体" w:hint="eastAsia"/>
          <w:color w:val="333333"/>
        </w:rPr>
        <w:t>）由企业、社会经济组织或个人新投资第一产业（农业）发展现代设施农业连片开发</w:t>
      </w:r>
      <w:r>
        <w:rPr>
          <w:rFonts w:ascii="Tahoma" w:eastAsia="宋体" w:hAnsi="Tahoma" w:cs="Tahoma"/>
          <w:color w:val="333333"/>
        </w:rPr>
        <w:t>50</w:t>
      </w:r>
      <w:r>
        <w:rPr>
          <w:rFonts w:ascii="宋体" w:eastAsia="宋体" w:hAnsi="宋体" w:hint="eastAsia"/>
          <w:color w:val="333333"/>
        </w:rPr>
        <w:t>亩～</w:t>
      </w:r>
      <w:r>
        <w:rPr>
          <w:rFonts w:ascii="Tahoma" w:eastAsia="宋体" w:hAnsi="Tahoma" w:cs="Tahoma"/>
          <w:color w:val="333333"/>
        </w:rPr>
        <w:t>100</w:t>
      </w:r>
      <w:r>
        <w:rPr>
          <w:rFonts w:ascii="宋体" w:eastAsia="宋体" w:hAnsi="宋体" w:hint="eastAsia"/>
          <w:color w:val="333333"/>
        </w:rPr>
        <w:t>亩（需有国家农机部门认可有资质的企业提供设施并施工）奖励</w:t>
      </w:r>
      <w:r>
        <w:rPr>
          <w:rFonts w:ascii="Tahoma" w:eastAsia="宋体" w:hAnsi="Tahoma" w:cs="Tahoma"/>
          <w:color w:val="333333"/>
        </w:rPr>
        <w:t>200</w:t>
      </w:r>
      <w:r>
        <w:rPr>
          <w:rFonts w:ascii="宋体" w:eastAsia="宋体" w:hAnsi="宋体" w:hint="eastAsia"/>
          <w:color w:val="333333"/>
        </w:rPr>
        <w:t>元</w:t>
      </w:r>
      <w:r>
        <w:rPr>
          <w:rFonts w:ascii="Tahoma" w:eastAsia="宋体" w:hAnsi="Tahoma" w:cs="Tahoma"/>
          <w:color w:val="333333"/>
        </w:rPr>
        <w:t>/</w:t>
      </w:r>
      <w:r>
        <w:rPr>
          <w:rFonts w:ascii="宋体" w:eastAsia="宋体" w:hAnsi="宋体" w:hint="eastAsia"/>
          <w:color w:val="333333"/>
        </w:rPr>
        <w:t>亩，</w:t>
      </w:r>
      <w:r>
        <w:rPr>
          <w:rFonts w:ascii="Tahoma" w:eastAsia="宋体" w:hAnsi="Tahoma" w:cs="Tahoma"/>
          <w:color w:val="333333"/>
        </w:rPr>
        <w:t>101</w:t>
      </w:r>
      <w:r>
        <w:rPr>
          <w:rFonts w:ascii="宋体" w:eastAsia="宋体" w:hAnsi="宋体" w:hint="eastAsia"/>
          <w:color w:val="333333"/>
        </w:rPr>
        <w:t>亩～</w:t>
      </w:r>
      <w:r>
        <w:rPr>
          <w:rFonts w:ascii="Tahoma" w:eastAsia="宋体" w:hAnsi="Tahoma" w:cs="Tahoma"/>
          <w:color w:val="333333"/>
        </w:rPr>
        <w:t>200</w:t>
      </w:r>
      <w:r>
        <w:rPr>
          <w:rFonts w:ascii="宋体" w:eastAsia="宋体" w:hAnsi="宋体" w:hint="eastAsia"/>
          <w:color w:val="333333"/>
        </w:rPr>
        <w:t>亩奖励</w:t>
      </w:r>
      <w:r>
        <w:rPr>
          <w:rFonts w:ascii="Tahoma" w:eastAsia="宋体" w:hAnsi="Tahoma" w:cs="Tahoma"/>
          <w:color w:val="333333"/>
        </w:rPr>
        <w:t>300/</w:t>
      </w:r>
      <w:r>
        <w:rPr>
          <w:rFonts w:ascii="宋体" w:eastAsia="宋体" w:hAnsi="宋体" w:hint="eastAsia"/>
          <w:color w:val="333333"/>
        </w:rPr>
        <w:t>亩，</w:t>
      </w:r>
      <w:r>
        <w:rPr>
          <w:rFonts w:ascii="Tahoma" w:eastAsia="宋体" w:hAnsi="Tahoma" w:cs="Tahoma"/>
          <w:color w:val="333333"/>
        </w:rPr>
        <w:t>201</w:t>
      </w:r>
      <w:r>
        <w:rPr>
          <w:rFonts w:ascii="宋体" w:eastAsia="宋体" w:hAnsi="宋体" w:hint="eastAsia"/>
          <w:color w:val="333333"/>
        </w:rPr>
        <w:t>以上奖励</w:t>
      </w:r>
      <w:r>
        <w:rPr>
          <w:rFonts w:ascii="Tahoma" w:eastAsia="宋体" w:hAnsi="Tahoma" w:cs="Tahoma"/>
          <w:color w:val="333333"/>
        </w:rPr>
        <w:t>400</w:t>
      </w:r>
      <w:r>
        <w:rPr>
          <w:rFonts w:ascii="宋体" w:eastAsia="宋体" w:hAnsi="宋体" w:hint="eastAsia"/>
          <w:color w:val="333333"/>
        </w:rPr>
        <w:t>元</w:t>
      </w:r>
      <w:r>
        <w:rPr>
          <w:rFonts w:ascii="Tahoma" w:eastAsia="宋体" w:hAnsi="Tahoma" w:cs="Tahoma"/>
          <w:color w:val="333333"/>
        </w:rPr>
        <w:t>/</w:t>
      </w:r>
      <w:r>
        <w:rPr>
          <w:rFonts w:ascii="宋体" w:eastAsia="宋体" w:hAnsi="宋体" w:hint="eastAsia"/>
          <w:color w:val="333333"/>
        </w:rPr>
        <w:t>亩。</w:t>
      </w:r>
    </w:p>
    <w:p w14:paraId="78198837"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2</w:t>
      </w:r>
      <w:r>
        <w:rPr>
          <w:rFonts w:ascii="宋体" w:eastAsia="宋体" w:hAnsi="宋体" w:hint="eastAsia"/>
          <w:color w:val="333333"/>
        </w:rPr>
        <w:t>）对第二产业企业纳税构成我区当年实得财力达</w:t>
      </w:r>
      <w:r>
        <w:rPr>
          <w:rFonts w:ascii="Tahoma" w:eastAsia="宋体" w:hAnsi="Tahoma" w:cs="Tahoma"/>
          <w:color w:val="333333"/>
        </w:rPr>
        <w:t>50</w:t>
      </w:r>
      <w:r>
        <w:rPr>
          <w:rFonts w:ascii="宋体" w:eastAsia="宋体" w:hAnsi="宋体" w:hint="eastAsia"/>
          <w:color w:val="333333"/>
        </w:rPr>
        <w:t>万元以上</w:t>
      </w:r>
      <w:r>
        <w:rPr>
          <w:rFonts w:ascii="Tahoma" w:eastAsia="宋体" w:hAnsi="Tahoma" w:cs="Tahoma"/>
          <w:color w:val="333333"/>
        </w:rPr>
        <w:t>80</w:t>
      </w:r>
      <w:r>
        <w:rPr>
          <w:rFonts w:ascii="宋体" w:eastAsia="宋体" w:hAnsi="宋体" w:hint="eastAsia"/>
          <w:color w:val="333333"/>
        </w:rPr>
        <w:t>万元以下（不含</w:t>
      </w:r>
      <w:r>
        <w:rPr>
          <w:rFonts w:ascii="Tahoma" w:eastAsia="宋体" w:hAnsi="Tahoma" w:cs="Tahoma"/>
          <w:color w:val="333333"/>
        </w:rPr>
        <w:t>80</w:t>
      </w:r>
      <w:r>
        <w:rPr>
          <w:rFonts w:ascii="宋体" w:eastAsia="宋体" w:hAnsi="宋体" w:hint="eastAsia"/>
          <w:color w:val="333333"/>
        </w:rPr>
        <w:t>万元）给予</w:t>
      </w:r>
      <w:r>
        <w:rPr>
          <w:rFonts w:ascii="Tahoma" w:eastAsia="宋体" w:hAnsi="Tahoma" w:cs="Tahoma"/>
          <w:color w:val="333333"/>
        </w:rPr>
        <w:t>6%</w:t>
      </w:r>
      <w:r>
        <w:rPr>
          <w:rFonts w:ascii="宋体" w:eastAsia="宋体" w:hAnsi="宋体" w:hint="eastAsia"/>
          <w:color w:val="333333"/>
        </w:rPr>
        <w:t>比例的奖励，构成我区当年实得财力达</w:t>
      </w:r>
      <w:r>
        <w:rPr>
          <w:rFonts w:ascii="Tahoma" w:eastAsia="宋体" w:hAnsi="Tahoma" w:cs="Tahoma"/>
          <w:color w:val="333333"/>
        </w:rPr>
        <w:t>80</w:t>
      </w:r>
      <w:r>
        <w:rPr>
          <w:rFonts w:ascii="宋体" w:eastAsia="宋体" w:hAnsi="宋体" w:hint="eastAsia"/>
          <w:color w:val="333333"/>
        </w:rPr>
        <w:t>万元以上的给予</w:t>
      </w:r>
      <w:r>
        <w:rPr>
          <w:rFonts w:ascii="Tahoma" w:eastAsia="宋体" w:hAnsi="Tahoma" w:cs="Tahoma"/>
          <w:color w:val="333333"/>
        </w:rPr>
        <w:t>10%</w:t>
      </w:r>
      <w:r>
        <w:rPr>
          <w:rFonts w:ascii="宋体" w:eastAsia="宋体" w:hAnsi="宋体" w:hint="eastAsia"/>
          <w:color w:val="333333"/>
        </w:rPr>
        <w:t>比例的奖励。</w:t>
      </w:r>
    </w:p>
    <w:p w14:paraId="068BABE2"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3</w:t>
      </w:r>
      <w:r>
        <w:rPr>
          <w:rFonts w:ascii="宋体" w:eastAsia="宋体" w:hAnsi="宋体" w:hint="eastAsia"/>
          <w:color w:val="333333"/>
        </w:rPr>
        <w:t>）对纳税构成我区当年实得财力达</w:t>
      </w:r>
      <w:r>
        <w:rPr>
          <w:rFonts w:ascii="Tahoma" w:eastAsia="宋体" w:hAnsi="Tahoma" w:cs="Tahoma"/>
          <w:color w:val="333333"/>
        </w:rPr>
        <w:t>40</w:t>
      </w:r>
      <w:r>
        <w:rPr>
          <w:rFonts w:ascii="宋体" w:eastAsia="宋体" w:hAnsi="宋体" w:hint="eastAsia"/>
          <w:color w:val="333333"/>
        </w:rPr>
        <w:t>万元以上的运输、物流、旅游、中介组织、小额贷款公司、典当、担保公司、专业市场每年按区财政实得的</w:t>
      </w:r>
      <w:r>
        <w:rPr>
          <w:rFonts w:ascii="Tahoma" w:eastAsia="宋体" w:hAnsi="Tahoma" w:cs="Tahoma"/>
          <w:color w:val="333333"/>
        </w:rPr>
        <w:t>10%</w:t>
      </w:r>
      <w:r>
        <w:rPr>
          <w:rFonts w:ascii="宋体" w:eastAsia="宋体" w:hAnsi="宋体" w:hint="eastAsia"/>
          <w:color w:val="333333"/>
        </w:rPr>
        <w:t>的比例给予奖励。</w:t>
      </w:r>
    </w:p>
    <w:p w14:paraId="374DA0FE"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4</w:t>
      </w:r>
      <w:r>
        <w:rPr>
          <w:rFonts w:ascii="宋体" w:eastAsia="宋体" w:hAnsi="宋体" w:hint="eastAsia"/>
          <w:color w:val="333333"/>
        </w:rPr>
        <w:t>）对纳税构成我区当年实得财力</w:t>
      </w:r>
      <w:r>
        <w:rPr>
          <w:rFonts w:ascii="Tahoma" w:eastAsia="宋体" w:hAnsi="Tahoma" w:cs="Tahoma"/>
          <w:color w:val="333333"/>
        </w:rPr>
        <w:t>10</w:t>
      </w:r>
      <w:r>
        <w:rPr>
          <w:rFonts w:ascii="宋体" w:eastAsia="宋体" w:hAnsi="宋体" w:hint="eastAsia"/>
          <w:color w:val="333333"/>
        </w:rPr>
        <w:t>万元以上的饮食服务企业，每年按区财政实得</w:t>
      </w:r>
      <w:r>
        <w:rPr>
          <w:rFonts w:ascii="Tahoma" w:eastAsia="宋体" w:hAnsi="Tahoma" w:cs="Tahoma"/>
          <w:color w:val="333333"/>
        </w:rPr>
        <w:t>10%</w:t>
      </w:r>
      <w:r>
        <w:rPr>
          <w:rFonts w:ascii="宋体" w:eastAsia="宋体" w:hAnsi="宋体" w:hint="eastAsia"/>
          <w:color w:val="333333"/>
        </w:rPr>
        <w:t>的比例给予奖励。</w:t>
      </w:r>
    </w:p>
    <w:p w14:paraId="38260A57"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5</w:t>
      </w:r>
      <w:r>
        <w:rPr>
          <w:rFonts w:ascii="宋体" w:eastAsia="宋体" w:hAnsi="宋体" w:hint="eastAsia"/>
          <w:color w:val="333333"/>
        </w:rPr>
        <w:t>）区属房地产开发企业，在市区内开发房地产项目，当年纳税构成我区实得财力</w:t>
      </w:r>
      <w:r>
        <w:rPr>
          <w:rFonts w:ascii="Tahoma" w:eastAsia="宋体" w:hAnsi="Tahoma" w:cs="Tahoma"/>
          <w:color w:val="333333"/>
        </w:rPr>
        <w:t>300</w:t>
      </w:r>
      <w:r>
        <w:rPr>
          <w:rFonts w:ascii="宋体" w:eastAsia="宋体" w:hAnsi="宋体" w:hint="eastAsia"/>
          <w:color w:val="333333"/>
        </w:rPr>
        <w:t>万元，给予</w:t>
      </w:r>
      <w:r>
        <w:rPr>
          <w:rFonts w:ascii="Tahoma" w:eastAsia="宋体" w:hAnsi="Tahoma" w:cs="Tahoma"/>
          <w:color w:val="333333"/>
        </w:rPr>
        <w:t>5</w:t>
      </w:r>
      <w:r>
        <w:rPr>
          <w:rFonts w:ascii="宋体" w:eastAsia="宋体" w:hAnsi="宋体" w:hint="eastAsia"/>
          <w:color w:val="333333"/>
        </w:rPr>
        <w:t>万元奖励；超过区实得财力</w:t>
      </w:r>
      <w:r>
        <w:rPr>
          <w:rFonts w:ascii="Tahoma" w:eastAsia="宋体" w:hAnsi="Tahoma" w:cs="Tahoma"/>
          <w:color w:val="333333"/>
        </w:rPr>
        <w:t>300</w:t>
      </w:r>
      <w:r>
        <w:rPr>
          <w:rFonts w:ascii="宋体" w:eastAsia="宋体" w:hAnsi="宋体" w:hint="eastAsia"/>
          <w:color w:val="333333"/>
        </w:rPr>
        <w:t>万元以上的，超过部分另按区实得财力</w:t>
      </w:r>
      <w:r>
        <w:rPr>
          <w:rFonts w:ascii="Tahoma" w:eastAsia="宋体" w:hAnsi="Tahoma" w:cs="Tahoma"/>
          <w:color w:val="333333"/>
        </w:rPr>
        <w:t>6%</w:t>
      </w:r>
      <w:r>
        <w:rPr>
          <w:rFonts w:ascii="宋体" w:eastAsia="宋体" w:hAnsi="宋体" w:hint="eastAsia"/>
          <w:color w:val="333333"/>
        </w:rPr>
        <w:t>的比例给予奖励。</w:t>
      </w:r>
    </w:p>
    <w:p w14:paraId="26676BD2"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6</w:t>
      </w:r>
      <w:r>
        <w:rPr>
          <w:rFonts w:ascii="宋体" w:eastAsia="宋体" w:hAnsi="宋体" w:hint="eastAsia"/>
          <w:color w:val="333333"/>
        </w:rPr>
        <w:t>）对当年在我区纳税</w:t>
      </w:r>
      <w:r>
        <w:rPr>
          <w:rFonts w:ascii="Tahoma" w:eastAsia="宋体" w:hAnsi="Tahoma" w:cs="Tahoma"/>
          <w:color w:val="333333"/>
        </w:rPr>
        <w:t>150</w:t>
      </w:r>
      <w:r>
        <w:rPr>
          <w:rFonts w:ascii="宋体" w:eastAsia="宋体" w:hAnsi="宋体" w:hint="eastAsia"/>
          <w:color w:val="333333"/>
        </w:rPr>
        <w:t>万元以上的企业授予“纳税大户”称号，奖励</w:t>
      </w:r>
      <w:r>
        <w:rPr>
          <w:rFonts w:ascii="Tahoma" w:eastAsia="宋体" w:hAnsi="Tahoma" w:cs="Tahoma"/>
          <w:color w:val="333333"/>
        </w:rPr>
        <w:t>0.5</w:t>
      </w:r>
      <w:r>
        <w:rPr>
          <w:rFonts w:ascii="宋体" w:eastAsia="宋体" w:hAnsi="宋体" w:hint="eastAsia"/>
          <w:color w:val="333333"/>
        </w:rPr>
        <w:t>万元（不含已奖励的企业）；对当年在我区纳税</w:t>
      </w:r>
      <w:r>
        <w:rPr>
          <w:rFonts w:ascii="Tahoma" w:eastAsia="宋体" w:hAnsi="Tahoma" w:cs="Tahoma"/>
          <w:color w:val="333333"/>
        </w:rPr>
        <w:t>80</w:t>
      </w:r>
      <w:r>
        <w:rPr>
          <w:rFonts w:ascii="宋体" w:eastAsia="宋体" w:hAnsi="宋体" w:hint="eastAsia"/>
          <w:color w:val="333333"/>
        </w:rPr>
        <w:t>～</w:t>
      </w:r>
      <w:r>
        <w:rPr>
          <w:rFonts w:ascii="Tahoma" w:eastAsia="宋体" w:hAnsi="Tahoma" w:cs="Tahoma"/>
          <w:color w:val="333333"/>
        </w:rPr>
        <w:t>150</w:t>
      </w:r>
      <w:r>
        <w:rPr>
          <w:rFonts w:ascii="宋体" w:eastAsia="宋体" w:hAnsi="宋体" w:hint="eastAsia"/>
          <w:color w:val="333333"/>
        </w:rPr>
        <w:t>万元的企业授予“纳税先进企业”称号，奖励</w:t>
      </w:r>
      <w:r>
        <w:rPr>
          <w:rFonts w:ascii="Tahoma" w:eastAsia="宋体" w:hAnsi="Tahoma" w:cs="Tahoma"/>
          <w:color w:val="333333"/>
        </w:rPr>
        <w:t>0.3</w:t>
      </w:r>
      <w:r>
        <w:rPr>
          <w:rFonts w:ascii="宋体" w:eastAsia="宋体" w:hAnsi="宋体" w:hint="eastAsia"/>
          <w:color w:val="333333"/>
        </w:rPr>
        <w:t>万元（不含已奖励的企业）；对当年在我区纳税</w:t>
      </w:r>
      <w:r>
        <w:rPr>
          <w:rFonts w:ascii="Tahoma" w:eastAsia="宋体" w:hAnsi="Tahoma" w:cs="Tahoma"/>
          <w:color w:val="333333"/>
        </w:rPr>
        <w:t>15</w:t>
      </w:r>
      <w:r>
        <w:rPr>
          <w:rFonts w:ascii="宋体" w:eastAsia="宋体" w:hAnsi="宋体" w:hint="eastAsia"/>
          <w:color w:val="333333"/>
        </w:rPr>
        <w:t>万元以上的饮食服务企业授予“纳税先进企业”称号，奖励</w:t>
      </w:r>
      <w:r>
        <w:rPr>
          <w:rFonts w:ascii="Tahoma" w:eastAsia="宋体" w:hAnsi="Tahoma" w:cs="Tahoma"/>
          <w:color w:val="333333"/>
        </w:rPr>
        <w:t>0.3</w:t>
      </w:r>
      <w:r>
        <w:rPr>
          <w:rFonts w:ascii="宋体" w:eastAsia="宋体" w:hAnsi="宋体" w:hint="eastAsia"/>
          <w:color w:val="333333"/>
        </w:rPr>
        <w:t>万元（不含已奖励的企业）；对先进个体工商户一次性奖励</w:t>
      </w:r>
      <w:r>
        <w:rPr>
          <w:rFonts w:ascii="Tahoma" w:eastAsia="宋体" w:hAnsi="Tahoma" w:cs="Tahoma"/>
          <w:color w:val="333333"/>
        </w:rPr>
        <w:t>500</w:t>
      </w:r>
      <w:r>
        <w:rPr>
          <w:rFonts w:ascii="宋体" w:eastAsia="宋体" w:hAnsi="宋体" w:hint="eastAsia"/>
          <w:color w:val="333333"/>
        </w:rPr>
        <w:t>元；对当年出口创汇</w:t>
      </w:r>
      <w:r>
        <w:rPr>
          <w:rFonts w:ascii="Tahoma" w:eastAsia="宋体" w:hAnsi="Tahoma" w:cs="Tahoma"/>
          <w:color w:val="333333"/>
        </w:rPr>
        <w:t>100</w:t>
      </w:r>
      <w:r>
        <w:rPr>
          <w:rFonts w:ascii="宋体" w:eastAsia="宋体" w:hAnsi="宋体" w:hint="eastAsia"/>
          <w:color w:val="333333"/>
        </w:rPr>
        <w:t>万美元以上的企业授予“出口创汇大户”称号。</w:t>
      </w:r>
    </w:p>
    <w:p w14:paraId="68A02450"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7</w:t>
      </w:r>
      <w:r>
        <w:rPr>
          <w:rFonts w:ascii="宋体" w:eastAsia="宋体" w:hAnsi="宋体" w:hint="eastAsia"/>
          <w:color w:val="333333"/>
        </w:rPr>
        <w:t>）鼓励非公有制企业实施品牌战略，对首获省级名牌产品或著名商标的企业，一次性奖励</w:t>
      </w:r>
      <w:r>
        <w:rPr>
          <w:rFonts w:ascii="Tahoma" w:eastAsia="宋体" w:hAnsi="Tahoma" w:cs="Tahoma"/>
          <w:color w:val="333333"/>
        </w:rPr>
        <w:t>2</w:t>
      </w:r>
      <w:r>
        <w:rPr>
          <w:rFonts w:ascii="宋体" w:eastAsia="宋体" w:hAnsi="宋体" w:hint="eastAsia"/>
          <w:color w:val="333333"/>
        </w:rPr>
        <w:t>万元；对获国家级名牌产品、驰名商标、参与行业国家标准制定的企业一次性奖励</w:t>
      </w:r>
      <w:r>
        <w:rPr>
          <w:rFonts w:ascii="Tahoma" w:eastAsia="宋体" w:hAnsi="Tahoma" w:cs="Tahoma"/>
          <w:color w:val="333333"/>
        </w:rPr>
        <w:t>10</w:t>
      </w:r>
      <w:r>
        <w:rPr>
          <w:rFonts w:ascii="宋体" w:eastAsia="宋体" w:hAnsi="宋体" w:hint="eastAsia"/>
          <w:color w:val="333333"/>
        </w:rPr>
        <w:t>万元；对获得绿色食品标志的企业一次性奖励</w:t>
      </w:r>
      <w:r>
        <w:rPr>
          <w:rFonts w:ascii="Tahoma" w:eastAsia="宋体" w:hAnsi="Tahoma" w:cs="Tahoma"/>
          <w:color w:val="333333"/>
        </w:rPr>
        <w:t>1</w:t>
      </w:r>
      <w:r>
        <w:rPr>
          <w:rFonts w:ascii="宋体" w:eastAsia="宋体" w:hAnsi="宋体" w:hint="eastAsia"/>
          <w:color w:val="333333"/>
        </w:rPr>
        <w:t>万元；对获得无公害食品称号的企业一次性奖励</w:t>
      </w:r>
      <w:r>
        <w:rPr>
          <w:rFonts w:ascii="Tahoma" w:eastAsia="宋体" w:hAnsi="Tahoma" w:cs="Tahoma"/>
          <w:color w:val="333333"/>
        </w:rPr>
        <w:t>3000</w:t>
      </w:r>
      <w:r>
        <w:rPr>
          <w:rFonts w:ascii="宋体" w:eastAsia="宋体" w:hAnsi="宋体" w:hint="eastAsia"/>
          <w:color w:val="333333"/>
        </w:rPr>
        <w:t>元；对通过</w:t>
      </w:r>
      <w:r>
        <w:rPr>
          <w:rFonts w:ascii="Tahoma" w:eastAsia="宋体" w:hAnsi="Tahoma" w:cs="Tahoma"/>
          <w:color w:val="333333"/>
        </w:rPr>
        <w:t>IPO</w:t>
      </w:r>
      <w:r>
        <w:rPr>
          <w:rFonts w:ascii="宋体" w:eastAsia="宋体" w:hAnsi="宋体" w:hint="eastAsia"/>
          <w:color w:val="333333"/>
        </w:rPr>
        <w:t>、借壳等形式，在国内挂牌上市的企业一次性奖励</w:t>
      </w:r>
      <w:r>
        <w:rPr>
          <w:rFonts w:ascii="Tahoma" w:eastAsia="宋体" w:hAnsi="Tahoma" w:cs="Tahoma"/>
          <w:color w:val="333333"/>
        </w:rPr>
        <w:t>50</w:t>
      </w:r>
      <w:r>
        <w:rPr>
          <w:rFonts w:ascii="宋体" w:eastAsia="宋体" w:hAnsi="宋体" w:hint="eastAsia"/>
          <w:color w:val="333333"/>
        </w:rPr>
        <w:t>万元。奖金由区财政承担</w:t>
      </w:r>
      <w:r>
        <w:rPr>
          <w:rFonts w:ascii="仿宋_GB2312" w:eastAsia="仿宋_GB2312" w:hAnsi="宋体" w:hint="eastAsia"/>
          <w:color w:val="333333"/>
        </w:rPr>
        <w:t>。</w:t>
      </w:r>
    </w:p>
    <w:p w14:paraId="629E06C6"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8</w:t>
      </w:r>
      <w:r>
        <w:rPr>
          <w:rFonts w:ascii="宋体" w:eastAsia="宋体" w:hAnsi="宋体" w:hint="eastAsia"/>
          <w:color w:val="333333"/>
        </w:rPr>
        <w:t>）新增投资农业综合开发和农副产品深加工的企业，从获利年度起所实现的所得税，三年内由同级财政按上交实得财力的</w:t>
      </w:r>
      <w:r>
        <w:rPr>
          <w:rFonts w:ascii="Tahoma" w:eastAsia="宋体" w:hAnsi="Tahoma" w:cs="Tahoma"/>
          <w:color w:val="333333"/>
        </w:rPr>
        <w:t>50%</w:t>
      </w:r>
      <w:r>
        <w:rPr>
          <w:rFonts w:ascii="宋体" w:eastAsia="宋体" w:hAnsi="宋体" w:hint="eastAsia"/>
          <w:color w:val="333333"/>
        </w:rPr>
        <w:t>予以奖励。</w:t>
      </w:r>
    </w:p>
    <w:p w14:paraId="6376C17B"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9</w:t>
      </w:r>
      <w:r>
        <w:rPr>
          <w:rFonts w:ascii="宋体" w:eastAsia="宋体" w:hAnsi="宋体" w:hint="eastAsia"/>
          <w:color w:val="333333"/>
        </w:rPr>
        <w:t>）鼓励我区建筑施工企业做大做强，我区建筑施工企业资质升格的：二级升格至一级的奖励</w:t>
      </w:r>
      <w:r>
        <w:rPr>
          <w:rFonts w:ascii="Tahoma" w:eastAsia="宋体" w:hAnsi="Tahoma" w:cs="Tahoma"/>
          <w:color w:val="333333"/>
        </w:rPr>
        <w:t>20</w:t>
      </w:r>
      <w:r>
        <w:rPr>
          <w:rFonts w:ascii="宋体" w:eastAsia="宋体" w:hAnsi="宋体" w:hint="eastAsia"/>
          <w:color w:val="333333"/>
        </w:rPr>
        <w:t>万元。</w:t>
      </w:r>
    </w:p>
    <w:p w14:paraId="5DE96692"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10</w:t>
      </w:r>
      <w:r>
        <w:rPr>
          <w:rFonts w:ascii="宋体" w:eastAsia="宋体" w:hAnsi="宋体" w:hint="eastAsia"/>
          <w:color w:val="333333"/>
        </w:rPr>
        <w:t>）科技创新服务。区科技三项经费重点扶持建设共性技术服务平台，组织实施共性技术、关键性技术的研发。大力培育生产力促进中心、科技企业孵化器、工程技术研究中心等科技中介机构，为企业提供技术咨询、企业孵化和科技成果转化等服务。建立健全以企业为主体、市场为引导、产学研相结合的技术创新体系，组织企业与高等院校、科研院所开展多形式的“产、学、研”联合，开发新产品、新技术。被新确定为国家级、省级的企业研发机构（中心），分别奖励企业</w:t>
      </w:r>
      <w:r>
        <w:rPr>
          <w:rFonts w:ascii="Tahoma" w:eastAsia="宋体" w:hAnsi="Tahoma" w:cs="Tahoma"/>
          <w:color w:val="333333"/>
        </w:rPr>
        <w:t>3</w:t>
      </w:r>
      <w:r>
        <w:rPr>
          <w:rFonts w:ascii="宋体" w:eastAsia="宋体" w:hAnsi="宋体" w:hint="eastAsia"/>
          <w:color w:val="333333"/>
        </w:rPr>
        <w:t>万元、</w:t>
      </w:r>
      <w:r>
        <w:rPr>
          <w:rFonts w:ascii="Tahoma" w:eastAsia="宋体" w:hAnsi="Tahoma" w:cs="Tahoma"/>
          <w:color w:val="333333"/>
        </w:rPr>
        <w:t>1</w:t>
      </w:r>
      <w:r>
        <w:rPr>
          <w:rFonts w:ascii="宋体" w:eastAsia="宋体" w:hAnsi="宋体" w:hint="eastAsia"/>
          <w:color w:val="333333"/>
        </w:rPr>
        <w:t>万元；被新确认为国家高新技术企业，奖励</w:t>
      </w:r>
      <w:r>
        <w:rPr>
          <w:rFonts w:ascii="Tahoma" w:eastAsia="宋体" w:hAnsi="Tahoma" w:cs="Tahoma"/>
          <w:color w:val="333333"/>
        </w:rPr>
        <w:t>2</w:t>
      </w:r>
      <w:r>
        <w:rPr>
          <w:rFonts w:ascii="宋体" w:eastAsia="宋体" w:hAnsi="宋体" w:hint="eastAsia"/>
          <w:color w:val="333333"/>
        </w:rPr>
        <w:t>万元；被新授权的发明专利奖励</w:t>
      </w:r>
      <w:r>
        <w:rPr>
          <w:rFonts w:ascii="Tahoma" w:eastAsia="宋体" w:hAnsi="Tahoma" w:cs="Tahoma"/>
          <w:color w:val="333333"/>
        </w:rPr>
        <w:t>0.5</w:t>
      </w:r>
      <w:r>
        <w:rPr>
          <w:rFonts w:ascii="宋体" w:eastAsia="宋体" w:hAnsi="宋体" w:hint="eastAsia"/>
          <w:color w:val="333333"/>
        </w:rPr>
        <w:t>万元。</w:t>
      </w:r>
    </w:p>
    <w:p w14:paraId="5E10D58A"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Tahoma" w:eastAsia="宋体" w:hAnsi="Tahoma" w:cs="Tahoma"/>
          <w:color w:val="333333"/>
        </w:rPr>
        <w:t>6. </w:t>
      </w:r>
      <w:r>
        <w:rPr>
          <w:rFonts w:ascii="宋体" w:eastAsia="宋体" w:hAnsi="宋体" w:hint="eastAsia"/>
          <w:color w:val="333333"/>
        </w:rPr>
        <w:t>为进一步发挥我区旅游资源优势，促进旅游产业做大做强，我区将大力实施“政府主导、企业主体、社会参与、市场运作”的大旅游发展战略，扶持旅游项目开发建设。</w:t>
      </w:r>
    </w:p>
    <w:p w14:paraId="46DCFB8E"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1</w:t>
      </w:r>
      <w:r>
        <w:rPr>
          <w:rFonts w:ascii="宋体" w:eastAsia="宋体" w:hAnsi="宋体" w:hint="eastAsia"/>
          <w:color w:val="333333"/>
        </w:rPr>
        <w:t>）对固定资产投资额在</w:t>
      </w:r>
      <w:r>
        <w:rPr>
          <w:rFonts w:ascii="Tahoma" w:eastAsia="宋体" w:hAnsi="Tahoma" w:cs="Tahoma"/>
          <w:color w:val="333333"/>
        </w:rPr>
        <w:t>3000</w:t>
      </w:r>
      <w:r>
        <w:rPr>
          <w:rFonts w:ascii="宋体" w:eastAsia="宋体" w:hAnsi="宋体" w:hint="eastAsia"/>
          <w:color w:val="333333"/>
        </w:rPr>
        <w:t>万元～</w:t>
      </w:r>
      <w:r>
        <w:rPr>
          <w:rFonts w:ascii="Tahoma" w:eastAsia="宋体" w:hAnsi="Tahoma" w:cs="Tahoma"/>
          <w:color w:val="333333"/>
        </w:rPr>
        <w:t>5000</w:t>
      </w:r>
      <w:r>
        <w:rPr>
          <w:rFonts w:ascii="宋体" w:eastAsia="宋体" w:hAnsi="宋体" w:hint="eastAsia"/>
          <w:color w:val="333333"/>
        </w:rPr>
        <w:t>万元的旅游景区开发项目，在不违反法律法规及上级政策的前提下，其建设过程中需缴纳的水土保持设施补偿费、水土流失防治费等按最低限收取。</w:t>
      </w:r>
    </w:p>
    <w:p w14:paraId="26AB4A0F"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2</w:t>
      </w:r>
      <w:r>
        <w:rPr>
          <w:rFonts w:ascii="宋体" w:eastAsia="宋体" w:hAnsi="宋体" w:hint="eastAsia"/>
          <w:color w:val="333333"/>
        </w:rPr>
        <w:t>）对固定资产投资额在</w:t>
      </w:r>
      <w:r>
        <w:rPr>
          <w:rFonts w:ascii="Tahoma" w:eastAsia="宋体" w:hAnsi="Tahoma" w:cs="Tahoma"/>
          <w:color w:val="333333"/>
        </w:rPr>
        <w:t>5000</w:t>
      </w:r>
      <w:r>
        <w:rPr>
          <w:rFonts w:ascii="宋体" w:eastAsia="宋体" w:hAnsi="宋体" w:hint="eastAsia"/>
          <w:color w:val="333333"/>
        </w:rPr>
        <w:t>万元以上的旅游景区开发项目，从营业年年底起，前两年上缴税收地方留成部分，由受益地财政部门给予全额奖励，后三年奖励</w:t>
      </w:r>
      <w:r>
        <w:rPr>
          <w:rFonts w:ascii="Tahoma" w:eastAsia="宋体" w:hAnsi="Tahoma" w:cs="Tahoma"/>
          <w:color w:val="333333"/>
        </w:rPr>
        <w:t>50%</w:t>
      </w:r>
      <w:r>
        <w:rPr>
          <w:rFonts w:ascii="宋体" w:eastAsia="宋体" w:hAnsi="宋体" w:hint="eastAsia"/>
          <w:color w:val="333333"/>
        </w:rPr>
        <w:t>。</w:t>
      </w:r>
    </w:p>
    <w:p w14:paraId="1444E244"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3</w:t>
      </w:r>
      <w:r>
        <w:rPr>
          <w:rFonts w:ascii="宋体" w:eastAsia="宋体" w:hAnsi="宋体" w:hint="eastAsia"/>
          <w:color w:val="333333"/>
        </w:rPr>
        <w:t>）对固定资产投资额在</w:t>
      </w:r>
      <w:r>
        <w:rPr>
          <w:rFonts w:ascii="Tahoma" w:eastAsia="宋体" w:hAnsi="Tahoma" w:cs="Tahoma"/>
          <w:color w:val="333333"/>
        </w:rPr>
        <w:t>1</w:t>
      </w:r>
      <w:r>
        <w:rPr>
          <w:rFonts w:ascii="宋体" w:eastAsia="宋体" w:hAnsi="宋体" w:hint="eastAsia"/>
          <w:color w:val="333333"/>
        </w:rPr>
        <w:t>亿元以上的旅游景区开发项目，采取“一事一议”的方式予以扶持，区政府成立项目服务小组开展全程服务，区领导定期进行协调、调度。</w:t>
      </w:r>
    </w:p>
    <w:p w14:paraId="31A902C0"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4</w:t>
      </w:r>
      <w:r>
        <w:rPr>
          <w:rFonts w:ascii="宋体" w:eastAsia="宋体" w:hAnsi="宋体" w:hint="eastAsia"/>
          <w:color w:val="333333"/>
        </w:rPr>
        <w:t>）鼓励争创旅游品牌。对新评定为</w:t>
      </w:r>
      <w:r>
        <w:rPr>
          <w:rFonts w:ascii="Tahoma" w:eastAsia="宋体" w:hAnsi="Tahoma" w:cs="Tahoma"/>
          <w:color w:val="333333"/>
        </w:rPr>
        <w:t>4A</w:t>
      </w:r>
      <w:r>
        <w:rPr>
          <w:rFonts w:ascii="宋体" w:eastAsia="宋体" w:hAnsi="宋体" w:hint="eastAsia"/>
          <w:color w:val="333333"/>
        </w:rPr>
        <w:t>级旅游景区或其它由国家旅游局确认授牌的景区奖励</w:t>
      </w:r>
      <w:r>
        <w:rPr>
          <w:rFonts w:ascii="Tahoma" w:eastAsia="宋体" w:hAnsi="Tahoma" w:cs="Tahoma"/>
          <w:color w:val="333333"/>
        </w:rPr>
        <w:t>10</w:t>
      </w:r>
      <w:r>
        <w:rPr>
          <w:rFonts w:ascii="宋体" w:eastAsia="宋体" w:hAnsi="宋体" w:hint="eastAsia"/>
          <w:color w:val="333333"/>
        </w:rPr>
        <w:t>万元；被省旅游局确认授牌的景区奖励</w:t>
      </w:r>
      <w:r>
        <w:rPr>
          <w:rFonts w:ascii="Tahoma" w:eastAsia="宋体" w:hAnsi="Tahoma" w:cs="Tahoma"/>
          <w:color w:val="333333"/>
        </w:rPr>
        <w:t>5</w:t>
      </w:r>
      <w:r>
        <w:rPr>
          <w:rFonts w:ascii="宋体" w:eastAsia="宋体" w:hAnsi="宋体" w:hint="eastAsia"/>
          <w:color w:val="333333"/>
        </w:rPr>
        <w:t>万元。</w:t>
      </w:r>
    </w:p>
    <w:p w14:paraId="3BDB547F"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w:t>
      </w:r>
      <w:r>
        <w:rPr>
          <w:rFonts w:ascii="Tahoma" w:eastAsia="宋体" w:hAnsi="Tahoma" w:cs="Tahoma"/>
          <w:color w:val="333333"/>
        </w:rPr>
        <w:t>5</w:t>
      </w:r>
      <w:r>
        <w:rPr>
          <w:rFonts w:ascii="宋体" w:eastAsia="宋体" w:hAnsi="宋体" w:hint="eastAsia"/>
          <w:color w:val="333333"/>
        </w:rPr>
        <w:t>）对以乡村旅游为主题开发的旅游项目，依法免交区级收取的各种行政事业收费。</w:t>
      </w:r>
    </w:p>
    <w:p w14:paraId="68455052"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Tahoma" w:eastAsia="宋体" w:hAnsi="Tahoma" w:cs="Tahoma"/>
          <w:color w:val="333333"/>
        </w:rPr>
        <w:t>7. </w:t>
      </w:r>
      <w:r>
        <w:rPr>
          <w:rFonts w:ascii="宋体" w:eastAsia="宋体" w:hAnsi="宋体" w:hint="eastAsia"/>
          <w:color w:val="333333"/>
        </w:rPr>
        <w:t>收费政策。由区本级征收的涉及各类企业的行政事业性收费（不含税务部门征收的费、金），一律按现行最低标准征收。</w:t>
      </w:r>
    </w:p>
    <w:p w14:paraId="46273EDE"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黑体" w:eastAsia="黑体" w:hAnsi="黑体" w:hint="eastAsia"/>
          <w:color w:val="333333"/>
        </w:rPr>
        <w:t>四、增强服务意识，改善发展环境</w:t>
      </w:r>
    </w:p>
    <w:p w14:paraId="6AA3A5C2"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Tahoma" w:eastAsia="宋体" w:hAnsi="Tahoma" w:cs="Tahoma"/>
          <w:color w:val="333333"/>
        </w:rPr>
        <w:t>8. </w:t>
      </w:r>
      <w:r>
        <w:rPr>
          <w:rFonts w:ascii="宋体" w:eastAsia="宋体" w:hAnsi="宋体" w:hint="eastAsia"/>
          <w:color w:val="333333"/>
        </w:rPr>
        <w:t>对新办非公有制经济项目，在行政许可、非行政许可和公共服务事项等方面实行联审联办和全程代办服务。对于投资</w:t>
      </w:r>
      <w:r>
        <w:rPr>
          <w:rFonts w:ascii="Tahoma" w:eastAsia="宋体" w:hAnsi="Tahoma" w:cs="Tahoma"/>
          <w:color w:val="333333"/>
        </w:rPr>
        <w:t>5000</w:t>
      </w:r>
      <w:r>
        <w:rPr>
          <w:rFonts w:ascii="宋体" w:eastAsia="宋体" w:hAnsi="宋体" w:hint="eastAsia"/>
          <w:color w:val="333333"/>
        </w:rPr>
        <w:t>万元以上的非公有制经济项目，由区政府抽调有关人员组成专门的项目工作小组，协助业主做好从市场准入至投产的各项前期工作。扩大网上办事范围，大力推行网上审批。网上审批事项全流程网上运行，实现审批行为的实时监控、预警纠错和责任追究。</w:t>
      </w:r>
    </w:p>
    <w:p w14:paraId="231AFEE3"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Tahoma" w:eastAsia="宋体" w:hAnsi="Tahoma" w:cs="Tahoma"/>
          <w:color w:val="333333"/>
        </w:rPr>
        <w:t>9. </w:t>
      </w:r>
      <w:r>
        <w:rPr>
          <w:rFonts w:ascii="宋体" w:eastAsia="宋体" w:hAnsi="宋体" w:hint="eastAsia"/>
          <w:color w:val="333333"/>
        </w:rPr>
        <w:t>坚决制止向非公有制企业乱收费、乱罚款、乱摊派和各种强迫赞助。有关部门要认真受理举报，对违法违纪的当事人要严肃查处，并追究当事人所在单位领导的责任。非公有制企业开办初期，在生产经营过程中出现的问题，有关执法部门要以教育、帮助为主，帮助引导其走上正常的生产经营轨道。</w:t>
      </w:r>
    </w:p>
    <w:p w14:paraId="5DB10428"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Tahoma" w:eastAsia="宋体" w:hAnsi="Tahoma" w:cs="Tahoma"/>
          <w:color w:val="333333"/>
        </w:rPr>
        <w:t>10. </w:t>
      </w:r>
      <w:r>
        <w:rPr>
          <w:rFonts w:ascii="宋体" w:eastAsia="宋体" w:hAnsi="宋体" w:hint="eastAsia"/>
          <w:color w:val="333333"/>
        </w:rPr>
        <w:t>严格按照区委、区政府《关于对损害经济发展软环境行为实行行政效能告诫的暂行规定》及《三元区效能建设责任追究办法（试行）的通知》的要求，规范各类管理检查行为，防止影响企业正常生产经营活动。区各行政执法部门需对企业进行检查的，年初应订出计划，报区政府批准，并严格执行。依法保护非公有制企业的人身权、财产权，对侵犯非公有制企业合法权益的违法行为，司法机关要依法及时查办。坚决依法打击滋扰、破坏非公有制企业正常生产经营活动的违纪违法行为。</w:t>
      </w:r>
    </w:p>
    <w:p w14:paraId="6AF96D7C"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黑体" w:eastAsia="黑体" w:hAnsi="黑体" w:hint="eastAsia"/>
          <w:color w:val="333333"/>
        </w:rPr>
        <w:t>五、采取有效措施，吸纳创业人才</w:t>
      </w:r>
    </w:p>
    <w:p w14:paraId="7DEA3105"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Tahoma" w:eastAsia="宋体" w:hAnsi="Tahoma" w:cs="Tahoma"/>
          <w:color w:val="333333"/>
        </w:rPr>
        <w:t>11. </w:t>
      </w:r>
      <w:r>
        <w:rPr>
          <w:rFonts w:ascii="宋体" w:eastAsia="宋体" w:hAnsi="宋体" w:hint="eastAsia"/>
          <w:color w:val="333333"/>
        </w:rPr>
        <w:t>大力选拔和使用各类专业人才。对愿意到我区非公有制企业工作的本科以上毕业生，区人才储备中心予以储备，愿意将档案寄存在区人才服务中心保管的，两年内免收保管费。外地生源的毕业生落户，可采取投靠亲友或落区人才中心集体户的办法解决。</w:t>
      </w:r>
    </w:p>
    <w:p w14:paraId="1C677A24" w14:textId="77777777" w:rsidR="002E586F" w:rsidRDefault="002E586F" w:rsidP="002E586F">
      <w:pPr>
        <w:pStyle w:val="a3"/>
        <w:shd w:val="clear" w:color="auto" w:fill="FFFFFF"/>
        <w:spacing w:before="0" w:beforeAutospacing="0" w:after="0" w:afterAutospacing="0" w:line="480" w:lineRule="atLeast"/>
        <w:ind w:firstLine="480"/>
        <w:rPr>
          <w:rFonts w:ascii="宋体" w:eastAsia="宋体" w:hAnsi="宋体" w:hint="eastAsia"/>
          <w:color w:val="333333"/>
        </w:rPr>
      </w:pPr>
      <w:r>
        <w:rPr>
          <w:rFonts w:ascii="宋体" w:eastAsia="宋体" w:hAnsi="宋体" w:hint="eastAsia"/>
          <w:color w:val="333333"/>
        </w:rPr>
        <w:t>以上规定自公布之日起执行。原区委、区政府出台的相关规定同时废止，以本规定为准，解释权属三元区人民政府。</w:t>
      </w:r>
    </w:p>
    <w:p w14:paraId="48C56B27" w14:textId="77777777" w:rsidR="00B87A50" w:rsidRPr="002E586F" w:rsidRDefault="00B87A50"/>
    <w:sectPr w:rsidR="00B87A50" w:rsidRPr="002E586F"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MS Mincho">
    <w:panose1 w:val="02020609040205080304"/>
    <w:charset w:val="80"/>
    <w:family w:val="auto"/>
    <w:pitch w:val="variable"/>
    <w:sig w:usb0="E00002FF" w:usb1="6AC7FDFB" w:usb2="08000012" w:usb3="00000000" w:csb0="0002009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楷体_GB2312">
    <w:altName w:val="Malgun Gothic Semilight"/>
    <w:charset w:val="86"/>
    <w:family w:val="modern"/>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Tahoma">
    <w:panose1 w:val="020B0604030504040204"/>
    <w:charset w:val="00"/>
    <w:family w:val="auto"/>
    <w:pitch w:val="variable"/>
    <w:sig w:usb0="E1002EFF" w:usb1="C000605B" w:usb2="00000029" w:usb3="00000000" w:csb0="000101FF" w:csb1="00000000"/>
  </w:font>
  <w:font w:name="仿宋_GB2312">
    <w:altName w:val="Malgun Gothic Semilight"/>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6F"/>
    <w:rsid w:val="002E586F"/>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BC77F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2E586F"/>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字符"/>
    <w:basedOn w:val="a0"/>
    <w:link w:val="3"/>
    <w:uiPriority w:val="9"/>
    <w:rsid w:val="002E586F"/>
    <w:rPr>
      <w:rFonts w:ascii="Times New Roman" w:hAnsi="Times New Roman" w:cs="Times New Roman"/>
      <w:b/>
      <w:bCs/>
      <w:kern w:val="0"/>
      <w:sz w:val="27"/>
      <w:szCs w:val="27"/>
    </w:rPr>
  </w:style>
  <w:style w:type="paragraph" w:styleId="a3">
    <w:name w:val="Normal (Web)"/>
    <w:basedOn w:val="a"/>
    <w:uiPriority w:val="99"/>
    <w:semiHidden/>
    <w:unhideWhenUsed/>
    <w:rsid w:val="002E586F"/>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95973">
      <w:bodyDiv w:val="1"/>
      <w:marLeft w:val="0"/>
      <w:marRight w:val="0"/>
      <w:marTop w:val="0"/>
      <w:marBottom w:val="0"/>
      <w:divBdr>
        <w:top w:val="none" w:sz="0" w:space="0" w:color="auto"/>
        <w:left w:val="none" w:sz="0" w:space="0" w:color="auto"/>
        <w:bottom w:val="none" w:sz="0" w:space="0" w:color="auto"/>
        <w:right w:val="none" w:sz="0" w:space="0" w:color="auto"/>
      </w:divBdr>
    </w:div>
    <w:div w:id="15797080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467</Words>
  <Characters>2668</Characters>
  <Application>Microsoft Macintosh Word</Application>
  <DocSecurity>0</DocSecurity>
  <Lines>22</Lines>
  <Paragraphs>6</Paragraphs>
  <ScaleCrop>false</ScaleCrop>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2018-06-08T07:05:00Z</dcterms:created>
  <dcterms:modified xsi:type="dcterms:W3CDTF">2018-06-08T07:06:00Z</dcterms:modified>
</cp:coreProperties>
</file>