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800" w:type="dxa"/>
        <w:jc w:val="center"/>
        <w:tblCellSpacing w:w="0" w:type="dxa"/>
        <w:tblCellMar>
          <w:left w:w="0" w:type="dxa"/>
          <w:right w:w="0" w:type="dxa"/>
        </w:tblCellMar>
        <w:tblLook w:val="04A0"/>
      </w:tblPr>
      <w:tblGrid>
        <w:gridCol w:w="8306"/>
      </w:tblGrid>
      <w:tr w:rsidR="00950D03" w:rsidRPr="00950D03" w:rsidTr="00950D03">
        <w:trPr>
          <w:tblCellSpacing w:w="0" w:type="dxa"/>
          <w:jc w:val="center"/>
        </w:trPr>
        <w:tc>
          <w:tcPr>
            <w:tcW w:w="0" w:type="auto"/>
            <w:shd w:val="clear" w:color="auto" w:fill="FFFFFF"/>
            <w:vAlign w:val="bottom"/>
            <w:hideMark/>
          </w:tcPr>
          <w:p w:rsidR="00950D03" w:rsidRPr="00950D03" w:rsidRDefault="00950D03" w:rsidP="00950D03">
            <w:pPr>
              <w:adjustRightInd/>
              <w:snapToGrid/>
              <w:spacing w:after="0"/>
              <w:jc w:val="center"/>
              <w:rPr>
                <w:rFonts w:ascii="宋体" w:eastAsia="宋体" w:hAnsi="宋体" w:cs="宋体"/>
                <w:sz w:val="24"/>
                <w:szCs w:val="24"/>
              </w:rPr>
            </w:pPr>
            <w:r>
              <w:rPr>
                <w:rFonts w:ascii="宋体" w:eastAsia="宋体" w:hAnsi="宋体" w:cs="宋体"/>
                <w:noProof/>
                <w:sz w:val="24"/>
                <w:szCs w:val="24"/>
              </w:rPr>
              <w:drawing>
                <wp:inline distT="0" distB="0" distL="0" distR="0">
                  <wp:extent cx="6652260" cy="2087880"/>
                  <wp:effectExtent l="19050" t="0" r="0" b="0"/>
                  <wp:docPr id="1" name="图片 1" descr="http://www.ln.gov.cn/zfxx/images/zfxx/zfw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n.gov.cn/zfxx/images/zfxx/zfwj3.jpg"/>
                          <pic:cNvPicPr>
                            <a:picLocks noChangeAspect="1" noChangeArrowheads="1"/>
                          </pic:cNvPicPr>
                        </pic:nvPicPr>
                        <pic:blipFill>
                          <a:blip r:embed="rId4" cstate="print"/>
                          <a:srcRect/>
                          <a:stretch>
                            <a:fillRect/>
                          </a:stretch>
                        </pic:blipFill>
                        <pic:spPr bwMode="auto">
                          <a:xfrm>
                            <a:off x="0" y="0"/>
                            <a:ext cx="6652260" cy="2087880"/>
                          </a:xfrm>
                          <a:prstGeom prst="rect">
                            <a:avLst/>
                          </a:prstGeom>
                          <a:noFill/>
                          <a:ln w="9525">
                            <a:noFill/>
                            <a:miter lim="800000"/>
                            <a:headEnd/>
                            <a:tailEnd/>
                          </a:ln>
                        </pic:spPr>
                      </pic:pic>
                    </a:graphicData>
                  </a:graphic>
                </wp:inline>
              </w:drawing>
            </w:r>
          </w:p>
        </w:tc>
      </w:tr>
      <w:tr w:rsidR="00950D03" w:rsidRPr="00950D03" w:rsidTr="00950D03">
        <w:trPr>
          <w:trHeight w:val="120"/>
          <w:tblCellSpacing w:w="0" w:type="dxa"/>
          <w:jc w:val="center"/>
        </w:trPr>
        <w:tc>
          <w:tcPr>
            <w:tcW w:w="0" w:type="auto"/>
            <w:shd w:val="clear" w:color="auto" w:fill="FFFFFF"/>
            <w:tcMar>
              <w:top w:w="240" w:type="dxa"/>
              <w:left w:w="0" w:type="dxa"/>
              <w:bottom w:w="180" w:type="dxa"/>
              <w:right w:w="0" w:type="dxa"/>
            </w:tcMar>
            <w:vAlign w:val="center"/>
            <w:hideMark/>
          </w:tcPr>
          <w:p w:rsidR="00950D03" w:rsidRPr="00950D03" w:rsidRDefault="00950D03" w:rsidP="00950D03">
            <w:pPr>
              <w:adjustRightInd/>
              <w:snapToGrid/>
              <w:spacing w:after="0" w:line="120" w:lineRule="atLeast"/>
              <w:jc w:val="center"/>
              <w:rPr>
                <w:rFonts w:ascii="宋体" w:eastAsia="宋体" w:hAnsi="宋体" w:cs="宋体"/>
                <w:sz w:val="18"/>
                <w:szCs w:val="18"/>
              </w:rPr>
            </w:pPr>
            <w:r w:rsidRPr="00950D03">
              <w:rPr>
                <w:rFonts w:ascii="宋体" w:eastAsia="宋体" w:hAnsi="宋体" w:cs="宋体"/>
                <w:sz w:val="18"/>
                <w:szCs w:val="18"/>
              </w:rPr>
              <w:t>辽政发〔2018〕21号</w:t>
            </w:r>
          </w:p>
        </w:tc>
      </w:tr>
      <w:tr w:rsidR="00950D03" w:rsidRPr="00950D03" w:rsidTr="00950D03">
        <w:trPr>
          <w:tblCellSpacing w:w="0" w:type="dxa"/>
          <w:jc w:val="center"/>
        </w:trPr>
        <w:tc>
          <w:tcPr>
            <w:tcW w:w="0" w:type="auto"/>
            <w:shd w:val="clear" w:color="auto" w:fill="FFFFFF"/>
            <w:vAlign w:val="center"/>
            <w:hideMark/>
          </w:tcPr>
          <w:p w:rsidR="00950D03" w:rsidRPr="00950D03" w:rsidRDefault="00950D03" w:rsidP="00950D03">
            <w:pPr>
              <w:adjustRightInd/>
              <w:snapToGrid/>
              <w:spacing w:after="0"/>
              <w:jc w:val="center"/>
              <w:rPr>
                <w:rFonts w:ascii="宋体" w:eastAsia="宋体" w:hAnsi="宋体" w:cs="宋体"/>
                <w:sz w:val="24"/>
                <w:szCs w:val="24"/>
              </w:rPr>
            </w:pPr>
            <w:r>
              <w:rPr>
                <w:rFonts w:ascii="宋体" w:eastAsia="宋体" w:hAnsi="宋体" w:cs="宋体"/>
                <w:noProof/>
                <w:sz w:val="24"/>
                <w:szCs w:val="24"/>
              </w:rPr>
              <w:drawing>
                <wp:inline distT="0" distB="0" distL="0" distR="0">
                  <wp:extent cx="6294120" cy="198120"/>
                  <wp:effectExtent l="19050" t="0" r="0" b="0"/>
                  <wp:docPr id="2" name="图片 2" descr="http://www.ln.gov.cn/zfxx/images/zfxx/zfw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n.gov.cn/zfxx/images/zfxx/zfwj2.jpg"/>
                          <pic:cNvPicPr>
                            <a:picLocks noChangeAspect="1" noChangeArrowheads="1"/>
                          </pic:cNvPicPr>
                        </pic:nvPicPr>
                        <pic:blipFill>
                          <a:blip r:embed="rId5" cstate="print"/>
                          <a:srcRect/>
                          <a:stretch>
                            <a:fillRect/>
                          </a:stretch>
                        </pic:blipFill>
                        <pic:spPr bwMode="auto">
                          <a:xfrm>
                            <a:off x="0" y="0"/>
                            <a:ext cx="6294120" cy="198120"/>
                          </a:xfrm>
                          <a:prstGeom prst="rect">
                            <a:avLst/>
                          </a:prstGeom>
                          <a:noFill/>
                          <a:ln w="9525">
                            <a:noFill/>
                            <a:miter lim="800000"/>
                            <a:headEnd/>
                            <a:tailEnd/>
                          </a:ln>
                        </pic:spPr>
                      </pic:pic>
                    </a:graphicData>
                  </a:graphic>
                </wp:inline>
              </w:drawing>
            </w:r>
          </w:p>
        </w:tc>
      </w:tr>
      <w:tr w:rsidR="00950D03" w:rsidRPr="00950D03" w:rsidTr="00950D03">
        <w:trPr>
          <w:trHeight w:val="540"/>
          <w:tblCellSpacing w:w="0" w:type="dxa"/>
          <w:jc w:val="center"/>
        </w:trPr>
        <w:tc>
          <w:tcPr>
            <w:tcW w:w="0" w:type="auto"/>
            <w:shd w:val="clear" w:color="auto" w:fill="FFFFFF"/>
            <w:tcMar>
              <w:top w:w="240" w:type="dxa"/>
              <w:left w:w="1200" w:type="dxa"/>
              <w:bottom w:w="0" w:type="dxa"/>
              <w:right w:w="1296" w:type="dxa"/>
            </w:tcMar>
            <w:vAlign w:val="center"/>
            <w:hideMark/>
          </w:tcPr>
          <w:p w:rsidR="00950D03" w:rsidRPr="00950D03" w:rsidRDefault="00950D03" w:rsidP="00950D03">
            <w:pPr>
              <w:adjustRightInd/>
              <w:snapToGrid/>
              <w:spacing w:after="0" w:line="360" w:lineRule="atLeast"/>
              <w:jc w:val="center"/>
              <w:rPr>
                <w:rFonts w:ascii="ˎ̥" w:eastAsia="宋体" w:hAnsi="ˎ̥" w:cs="宋体"/>
                <w:b/>
                <w:bCs/>
                <w:color w:val="000000"/>
                <w:sz w:val="25"/>
                <w:szCs w:val="25"/>
              </w:rPr>
            </w:pPr>
            <w:r w:rsidRPr="00950D03">
              <w:rPr>
                <w:rFonts w:ascii="ˎ̥" w:eastAsia="宋体" w:hAnsi="ˎ̥" w:cs="宋体"/>
                <w:b/>
                <w:bCs/>
                <w:color w:val="000000"/>
                <w:sz w:val="25"/>
                <w:szCs w:val="25"/>
              </w:rPr>
              <w:t>辽宁省人民政府关于探索建立涉农资金</w:t>
            </w:r>
            <w:r w:rsidRPr="00950D03">
              <w:rPr>
                <w:rFonts w:ascii="ˎ̥" w:eastAsia="宋体" w:hAnsi="ˎ̥" w:cs="宋体"/>
                <w:b/>
                <w:bCs/>
                <w:color w:val="000000"/>
                <w:sz w:val="25"/>
                <w:szCs w:val="25"/>
              </w:rPr>
              <w:br/>
            </w:r>
            <w:r w:rsidRPr="00950D03">
              <w:rPr>
                <w:rFonts w:ascii="ˎ̥" w:eastAsia="宋体" w:hAnsi="ˎ̥" w:cs="宋体"/>
                <w:b/>
                <w:bCs/>
                <w:color w:val="000000"/>
                <w:sz w:val="25"/>
                <w:szCs w:val="25"/>
              </w:rPr>
              <w:t>统筹整合长效机制的实施意见</w:t>
            </w:r>
          </w:p>
        </w:tc>
      </w:tr>
      <w:tr w:rsidR="00950D03" w:rsidRPr="00950D03" w:rsidTr="00950D03">
        <w:trPr>
          <w:trHeight w:val="7140"/>
          <w:tblCellSpacing w:w="0" w:type="dxa"/>
          <w:jc w:val="center"/>
        </w:trPr>
        <w:tc>
          <w:tcPr>
            <w:tcW w:w="0" w:type="auto"/>
            <w:shd w:val="clear" w:color="auto" w:fill="FFFFFF"/>
            <w:tcMar>
              <w:top w:w="120" w:type="dxa"/>
              <w:left w:w="1080" w:type="dxa"/>
              <w:bottom w:w="240" w:type="dxa"/>
              <w:right w:w="1020" w:type="dxa"/>
            </w:tcMar>
            <w:hideMark/>
          </w:tcPr>
          <w:p w:rsidR="00950D03" w:rsidRPr="00950D03" w:rsidRDefault="00950D03" w:rsidP="00950D03">
            <w:pPr>
              <w:adjustRightInd/>
              <w:snapToGrid/>
              <w:spacing w:after="0" w:line="360" w:lineRule="atLeast"/>
              <w:rPr>
                <w:rFonts w:ascii="ˎ̥" w:eastAsia="宋体" w:hAnsi="ˎ̥" w:cs="宋体"/>
                <w:color w:val="000000"/>
                <w:sz w:val="19"/>
                <w:szCs w:val="19"/>
              </w:rPr>
            </w:pPr>
            <w:r w:rsidRPr="00950D03">
              <w:rPr>
                <w:rFonts w:ascii="ˎ̥" w:eastAsia="宋体" w:hAnsi="ˎ̥" w:cs="宋体"/>
                <w:color w:val="000000"/>
                <w:sz w:val="19"/>
                <w:szCs w:val="19"/>
              </w:rPr>
              <w:t>各市人民政府，省政府各厅委、各直属机构：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为贯彻落实《国务院关于探索建立涉农资金统筹整合长效机制的意见》（国发〔</w:t>
            </w:r>
            <w:r w:rsidRPr="00950D03">
              <w:rPr>
                <w:rFonts w:ascii="ˎ̥" w:eastAsia="宋体" w:hAnsi="ˎ̥" w:cs="宋体"/>
                <w:color w:val="000000"/>
                <w:sz w:val="19"/>
                <w:szCs w:val="19"/>
              </w:rPr>
              <w:t>2017</w:t>
            </w:r>
            <w:r w:rsidRPr="00950D03">
              <w:rPr>
                <w:rFonts w:ascii="ˎ̥" w:eastAsia="宋体" w:hAnsi="ˎ̥" w:cs="宋体"/>
                <w:color w:val="000000"/>
                <w:sz w:val="19"/>
                <w:szCs w:val="19"/>
              </w:rPr>
              <w:t>〕</w:t>
            </w:r>
            <w:r w:rsidRPr="00950D03">
              <w:rPr>
                <w:rFonts w:ascii="ˎ̥" w:eastAsia="宋体" w:hAnsi="ˎ̥" w:cs="宋体"/>
                <w:color w:val="000000"/>
                <w:sz w:val="19"/>
                <w:szCs w:val="19"/>
              </w:rPr>
              <w:t>54</w:t>
            </w:r>
            <w:r w:rsidRPr="00950D03">
              <w:rPr>
                <w:rFonts w:ascii="ˎ̥" w:eastAsia="宋体" w:hAnsi="ˎ̥" w:cs="宋体"/>
                <w:color w:val="000000"/>
                <w:sz w:val="19"/>
                <w:szCs w:val="19"/>
              </w:rPr>
              <w:t>号）精神，发挥财税体制改革牵引作用，推进实施乡村振兴战略和农业供给侧结构性改革，加快农业现代化和农村全面建成小康社会步伐，探索建立涉农资金统筹整合长效机制，现提出如下意见。</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b/>
                <w:bCs/>
                <w:color w:val="000000"/>
                <w:sz w:val="19"/>
                <w:szCs w:val="19"/>
              </w:rPr>
              <w:t>一、总体要求</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（一）指导思想。全面贯彻党的十九大和十九届二中、三中全会精神，以习近平新时代中国特色社会主义思想为指导，统筹推进</w:t>
            </w:r>
            <w:r w:rsidRPr="00950D03">
              <w:rPr>
                <w:rFonts w:ascii="ˎ̥" w:eastAsia="宋体" w:hAnsi="ˎ̥" w:cs="宋体"/>
                <w:color w:val="000000"/>
                <w:sz w:val="19"/>
                <w:szCs w:val="19"/>
              </w:rPr>
              <w:t>“</w:t>
            </w:r>
            <w:r w:rsidRPr="00950D03">
              <w:rPr>
                <w:rFonts w:ascii="ˎ̥" w:eastAsia="宋体" w:hAnsi="ˎ̥" w:cs="宋体"/>
                <w:color w:val="000000"/>
                <w:sz w:val="19"/>
                <w:szCs w:val="19"/>
              </w:rPr>
              <w:t>五位一体</w:t>
            </w:r>
            <w:r w:rsidRPr="00950D03">
              <w:rPr>
                <w:rFonts w:ascii="ˎ̥" w:eastAsia="宋体" w:hAnsi="ˎ̥" w:cs="宋体"/>
                <w:color w:val="000000"/>
                <w:sz w:val="19"/>
                <w:szCs w:val="19"/>
              </w:rPr>
              <w:t>”</w:t>
            </w:r>
            <w:r w:rsidRPr="00950D03">
              <w:rPr>
                <w:rFonts w:ascii="ˎ̥" w:eastAsia="宋体" w:hAnsi="ˎ̥" w:cs="宋体"/>
                <w:color w:val="000000"/>
                <w:sz w:val="19"/>
                <w:szCs w:val="19"/>
              </w:rPr>
              <w:t>总体布局和协调推进</w:t>
            </w:r>
            <w:r w:rsidRPr="00950D03">
              <w:rPr>
                <w:rFonts w:ascii="ˎ̥" w:eastAsia="宋体" w:hAnsi="ˎ̥" w:cs="宋体"/>
                <w:color w:val="000000"/>
                <w:sz w:val="19"/>
                <w:szCs w:val="19"/>
              </w:rPr>
              <w:t>“</w:t>
            </w:r>
            <w:r w:rsidRPr="00950D03">
              <w:rPr>
                <w:rFonts w:ascii="ˎ̥" w:eastAsia="宋体" w:hAnsi="ˎ̥" w:cs="宋体"/>
                <w:color w:val="000000"/>
                <w:sz w:val="19"/>
                <w:szCs w:val="19"/>
              </w:rPr>
              <w:t>四个全面</w:t>
            </w:r>
            <w:r w:rsidRPr="00950D03">
              <w:rPr>
                <w:rFonts w:ascii="ˎ̥" w:eastAsia="宋体" w:hAnsi="ˎ̥" w:cs="宋体"/>
                <w:color w:val="000000"/>
                <w:sz w:val="19"/>
                <w:szCs w:val="19"/>
              </w:rPr>
              <w:t>”</w:t>
            </w:r>
            <w:r w:rsidRPr="00950D03">
              <w:rPr>
                <w:rFonts w:ascii="ˎ̥" w:eastAsia="宋体" w:hAnsi="ˎ̥" w:cs="宋体"/>
                <w:color w:val="000000"/>
                <w:sz w:val="19"/>
                <w:szCs w:val="19"/>
              </w:rPr>
              <w:t>战略布局，持之以恒落实新发展理念和</w:t>
            </w:r>
            <w:r w:rsidRPr="00950D03">
              <w:rPr>
                <w:rFonts w:ascii="ˎ̥" w:eastAsia="宋体" w:hAnsi="ˎ̥" w:cs="宋体"/>
                <w:color w:val="000000"/>
                <w:sz w:val="19"/>
                <w:szCs w:val="19"/>
              </w:rPr>
              <w:t>“</w:t>
            </w:r>
            <w:r w:rsidRPr="00950D03">
              <w:rPr>
                <w:rFonts w:ascii="ˎ̥" w:eastAsia="宋体" w:hAnsi="ˎ̥" w:cs="宋体"/>
                <w:color w:val="000000"/>
                <w:sz w:val="19"/>
                <w:szCs w:val="19"/>
              </w:rPr>
              <w:t>四个着力</w:t>
            </w:r>
            <w:r w:rsidRPr="00950D03">
              <w:rPr>
                <w:rFonts w:ascii="ˎ̥" w:eastAsia="宋体" w:hAnsi="ˎ̥" w:cs="宋体"/>
                <w:color w:val="000000"/>
                <w:sz w:val="19"/>
                <w:szCs w:val="19"/>
              </w:rPr>
              <w:t>”“</w:t>
            </w:r>
            <w:r w:rsidRPr="00950D03">
              <w:rPr>
                <w:rFonts w:ascii="ˎ̥" w:eastAsia="宋体" w:hAnsi="ˎ̥" w:cs="宋体"/>
                <w:color w:val="000000"/>
                <w:sz w:val="19"/>
                <w:szCs w:val="19"/>
              </w:rPr>
              <w:t>三个推进</w:t>
            </w:r>
            <w:r w:rsidRPr="00950D03">
              <w:rPr>
                <w:rFonts w:ascii="ˎ̥" w:eastAsia="宋体" w:hAnsi="ˎ̥" w:cs="宋体"/>
                <w:color w:val="000000"/>
                <w:sz w:val="19"/>
                <w:szCs w:val="19"/>
              </w:rPr>
              <w:t>”</w:t>
            </w:r>
            <w:r w:rsidRPr="00950D03">
              <w:rPr>
                <w:rFonts w:ascii="ˎ̥" w:eastAsia="宋体" w:hAnsi="ˎ̥" w:cs="宋体"/>
                <w:color w:val="000000"/>
                <w:sz w:val="19"/>
                <w:szCs w:val="19"/>
              </w:rPr>
              <w:t>，紧紧围绕实施乡村振兴战略，将涉农资金统筹整合作为深化财税体制改革和政府投资体制改革的重要内容，优化财政支农投入供给，加强财政支农政策统筹谋划，理顺涉农资金管理体系，创新涉农资金使用管理机制，改革和完善农村投融资体制，深入推进农业供给侧结构性改革，切实提升支农政策效果和涉农资金使用效益。</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（二）基本原则。</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坚持以县为主，上下联动。涉农资金的使用在县级（含县级市、涉农区，下同）、载体在县级、效益在县级，紧紧围绕农业和农村发展总体规划，坚持以县级重点产业、重点项目和重点区域为平台，在涉农资金使用方向不变的前提下，明确支持重点，自上而下推进统筹整合。省级主要负责政策指导和工作协调，市级主要负责组织指导协调和管理监督，县级是统筹整合的主体，负责具体组织实施。</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坚持问题导向，改革创新。针对当前涉农资金多头管理、交叉重复、使用分散等问题，加强统筹谋划，创新体制机制，完善政策措施。全力推</w:t>
            </w:r>
            <w:r w:rsidRPr="00950D03">
              <w:rPr>
                <w:rFonts w:ascii="ˎ̥" w:eastAsia="宋体" w:hAnsi="ˎ̥" w:cs="宋体"/>
                <w:color w:val="000000"/>
                <w:sz w:val="19"/>
                <w:szCs w:val="19"/>
              </w:rPr>
              <w:lastRenderedPageBreak/>
              <w:t>进因素法切块下达资金，提前编制中期规划，推进</w:t>
            </w:r>
            <w:r w:rsidRPr="00950D03">
              <w:rPr>
                <w:rFonts w:ascii="ˎ̥" w:eastAsia="宋体" w:hAnsi="ˎ̥" w:cs="宋体"/>
                <w:color w:val="000000"/>
                <w:sz w:val="19"/>
                <w:szCs w:val="19"/>
              </w:rPr>
              <w:t>“</w:t>
            </w:r>
            <w:r w:rsidRPr="00950D03">
              <w:rPr>
                <w:rFonts w:ascii="ˎ̥" w:eastAsia="宋体" w:hAnsi="ˎ̥" w:cs="宋体"/>
                <w:color w:val="000000"/>
                <w:sz w:val="19"/>
                <w:szCs w:val="19"/>
              </w:rPr>
              <w:t>大专项</w:t>
            </w:r>
            <w:r w:rsidRPr="00950D03">
              <w:rPr>
                <w:rFonts w:ascii="ˎ̥" w:eastAsia="宋体" w:hAnsi="ˎ̥" w:cs="宋体"/>
                <w:color w:val="000000"/>
                <w:sz w:val="19"/>
                <w:szCs w:val="19"/>
              </w:rPr>
              <w:t>+</w:t>
            </w:r>
            <w:r w:rsidRPr="00950D03">
              <w:rPr>
                <w:rFonts w:ascii="ˎ̥" w:eastAsia="宋体" w:hAnsi="ˎ̥" w:cs="宋体"/>
                <w:color w:val="000000"/>
                <w:sz w:val="19"/>
                <w:szCs w:val="19"/>
              </w:rPr>
              <w:t>任务清单</w:t>
            </w:r>
            <w:r w:rsidRPr="00950D03">
              <w:rPr>
                <w:rFonts w:ascii="ˎ̥" w:eastAsia="宋体" w:hAnsi="ˎ̥" w:cs="宋体"/>
                <w:color w:val="000000"/>
                <w:sz w:val="19"/>
                <w:szCs w:val="19"/>
              </w:rPr>
              <w:t>”</w:t>
            </w:r>
            <w:r w:rsidRPr="00950D03">
              <w:rPr>
                <w:rFonts w:ascii="ˎ̥" w:eastAsia="宋体" w:hAnsi="ˎ̥" w:cs="宋体"/>
                <w:color w:val="000000"/>
                <w:sz w:val="19"/>
                <w:szCs w:val="19"/>
              </w:rPr>
              <w:t>资金管理模式，深化涉农领域</w:t>
            </w:r>
            <w:r w:rsidRPr="00950D03">
              <w:rPr>
                <w:rFonts w:ascii="ˎ̥" w:eastAsia="宋体" w:hAnsi="ˎ̥" w:cs="宋体"/>
                <w:color w:val="000000"/>
                <w:sz w:val="19"/>
                <w:szCs w:val="19"/>
              </w:rPr>
              <w:t>“</w:t>
            </w:r>
            <w:r w:rsidRPr="00950D03">
              <w:rPr>
                <w:rFonts w:ascii="ˎ̥" w:eastAsia="宋体" w:hAnsi="ˎ̥" w:cs="宋体"/>
                <w:color w:val="000000"/>
                <w:sz w:val="19"/>
                <w:szCs w:val="19"/>
              </w:rPr>
              <w:t>放管服</w:t>
            </w:r>
            <w:r w:rsidRPr="00950D03">
              <w:rPr>
                <w:rFonts w:ascii="ˎ̥" w:eastAsia="宋体" w:hAnsi="ˎ̥" w:cs="宋体"/>
                <w:color w:val="000000"/>
                <w:sz w:val="19"/>
                <w:szCs w:val="19"/>
              </w:rPr>
              <w:t>”</w:t>
            </w:r>
            <w:r w:rsidRPr="00950D03">
              <w:rPr>
                <w:rFonts w:ascii="ˎ̥" w:eastAsia="宋体" w:hAnsi="ˎ̥" w:cs="宋体"/>
                <w:color w:val="000000"/>
                <w:sz w:val="19"/>
                <w:szCs w:val="19"/>
              </w:rPr>
              <w:t>改革，下放审批权限，扩大县级统筹涉农资金自主权。</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坚持统筹协调，分类施策。合理划分省、市、县级支农事权和支出责任，明确部门职责，建立激励约束机制。按照专项转移支付和基建投资（即预算内投资，下同）管理的职责分工，分类有序推进涉农资金统筹整合。开展各部门内部涉农资金在预算编制环节进行源头整合，部门间涉农资金在预算执行环节进行统筹，加强部门内部涉农资金整合与部门间涉农资金统筹的衔接配合。</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坚持依法依规，有序实施。按照《中华人民共和国预算法》等相关法规和资金管理制度的规定，在</w:t>
            </w:r>
            <w:r w:rsidRPr="00950D03">
              <w:rPr>
                <w:rFonts w:ascii="ˎ̥" w:eastAsia="宋体" w:hAnsi="ˎ̥" w:cs="宋体"/>
                <w:color w:val="000000"/>
                <w:sz w:val="19"/>
                <w:szCs w:val="19"/>
              </w:rPr>
              <w:t>“</w:t>
            </w:r>
            <w:r w:rsidRPr="00950D03">
              <w:rPr>
                <w:rFonts w:ascii="ˎ̥" w:eastAsia="宋体" w:hAnsi="ˎ̥" w:cs="宋体"/>
                <w:color w:val="000000"/>
                <w:sz w:val="19"/>
                <w:szCs w:val="19"/>
              </w:rPr>
              <w:t>渠道不乱、用途不变、集中投入、各负其责、各记其功、形成合力</w:t>
            </w:r>
            <w:r w:rsidRPr="00950D03">
              <w:rPr>
                <w:rFonts w:ascii="ˎ̥" w:eastAsia="宋体" w:hAnsi="ˎ̥" w:cs="宋体"/>
                <w:color w:val="000000"/>
                <w:sz w:val="19"/>
                <w:szCs w:val="19"/>
              </w:rPr>
              <w:t>”</w:t>
            </w:r>
            <w:r w:rsidRPr="00950D03">
              <w:rPr>
                <w:rFonts w:ascii="ˎ̥" w:eastAsia="宋体" w:hAnsi="ˎ̥" w:cs="宋体"/>
                <w:color w:val="000000"/>
                <w:sz w:val="19"/>
                <w:szCs w:val="19"/>
              </w:rPr>
              <w:t>的前提下，加强事中事后监管，依法依规、有序有效推进涉农资金统筹整合。逐步建立与涉农资金统筹整合相配套的制度体系，修改完善相关涉农资金和项目管理制度办法，为县级开展统筹整合工作创造条件。</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（三）主要目标。</w:t>
            </w:r>
            <w:r w:rsidRPr="00950D03">
              <w:rPr>
                <w:rFonts w:ascii="ˎ̥" w:eastAsia="宋体" w:hAnsi="ˎ̥" w:cs="宋体"/>
                <w:color w:val="000000"/>
                <w:sz w:val="19"/>
                <w:szCs w:val="19"/>
              </w:rPr>
              <w:t>2018</w:t>
            </w:r>
            <w:r w:rsidRPr="00950D03">
              <w:rPr>
                <w:rFonts w:ascii="ˎ̥" w:eastAsia="宋体" w:hAnsi="ˎ̥" w:cs="宋体"/>
                <w:color w:val="000000"/>
                <w:sz w:val="19"/>
                <w:szCs w:val="19"/>
              </w:rPr>
              <w:t>年，实现部门内部涉农专项转移支付的统筹整合。到</w:t>
            </w:r>
            <w:r w:rsidRPr="00950D03">
              <w:rPr>
                <w:rFonts w:ascii="ˎ̥" w:eastAsia="宋体" w:hAnsi="ˎ̥" w:cs="宋体"/>
                <w:color w:val="000000"/>
                <w:sz w:val="19"/>
                <w:szCs w:val="19"/>
              </w:rPr>
              <w:t>2019</w:t>
            </w:r>
            <w:r w:rsidRPr="00950D03">
              <w:rPr>
                <w:rFonts w:ascii="ˎ̥" w:eastAsia="宋体" w:hAnsi="ˎ̥" w:cs="宋体"/>
                <w:color w:val="000000"/>
                <w:sz w:val="19"/>
                <w:szCs w:val="19"/>
              </w:rPr>
              <w:t>年，基本实现部门间涉农专项转移支付和涉农基建投资的分类统筹整合。到</w:t>
            </w:r>
            <w:r w:rsidRPr="00950D03">
              <w:rPr>
                <w:rFonts w:ascii="ˎ̥" w:eastAsia="宋体" w:hAnsi="ˎ̥" w:cs="宋体"/>
                <w:color w:val="000000"/>
                <w:sz w:val="19"/>
                <w:szCs w:val="19"/>
              </w:rPr>
              <w:t>2020</w:t>
            </w:r>
            <w:r w:rsidRPr="00950D03">
              <w:rPr>
                <w:rFonts w:ascii="ˎ̥" w:eastAsia="宋体" w:hAnsi="ˎ̥" w:cs="宋体"/>
                <w:color w:val="000000"/>
                <w:sz w:val="19"/>
                <w:szCs w:val="19"/>
              </w:rPr>
              <w:t>年，构建形成权责匹配、相互协调、上下联动、步调一致的涉农资金统筹整合长效机制，并根据农业领域中央与省、市、县级财政事权和支出责任划分改革以及转移支付制度改革，适时调整完善。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b/>
                <w:bCs/>
                <w:color w:val="000000"/>
                <w:sz w:val="19"/>
                <w:szCs w:val="19"/>
              </w:rPr>
              <w:t>二、主要任务</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（一）统筹谋划涉农资金整合政策。</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1.</w:t>
            </w:r>
            <w:r w:rsidRPr="00950D03">
              <w:rPr>
                <w:rFonts w:ascii="ˎ̥" w:eastAsia="宋体" w:hAnsi="ˎ̥" w:cs="宋体"/>
                <w:color w:val="000000"/>
                <w:sz w:val="19"/>
                <w:szCs w:val="19"/>
              </w:rPr>
              <w:t>加强规划引领。各有关部门要做好行业总体规划，加强对县级统筹整合的规划引领和工作指导。县级要紧紧围绕支持现代农业发展、实施乡村振兴战略、发展壮大村级集体经济、促进农村一二三产业融合发展、支持</w:t>
            </w:r>
            <w:r w:rsidRPr="00950D03">
              <w:rPr>
                <w:rFonts w:ascii="ˎ̥" w:eastAsia="宋体" w:hAnsi="ˎ̥" w:cs="宋体"/>
                <w:color w:val="000000"/>
                <w:sz w:val="19"/>
                <w:szCs w:val="19"/>
              </w:rPr>
              <w:t>“</w:t>
            </w:r>
            <w:r w:rsidRPr="00950D03">
              <w:rPr>
                <w:rFonts w:ascii="ˎ̥" w:eastAsia="宋体" w:hAnsi="ˎ̥" w:cs="宋体"/>
                <w:color w:val="000000"/>
                <w:sz w:val="19"/>
                <w:szCs w:val="19"/>
              </w:rPr>
              <w:t>一县一业</w:t>
            </w:r>
            <w:r w:rsidRPr="00950D03">
              <w:rPr>
                <w:rFonts w:ascii="ˎ̥" w:eastAsia="宋体" w:hAnsi="ˎ̥" w:cs="宋体"/>
                <w:color w:val="000000"/>
                <w:sz w:val="19"/>
                <w:szCs w:val="19"/>
              </w:rPr>
              <w:t>”“</w:t>
            </w:r>
            <w:r w:rsidRPr="00950D03">
              <w:rPr>
                <w:rFonts w:ascii="ˎ̥" w:eastAsia="宋体" w:hAnsi="ˎ̥" w:cs="宋体"/>
                <w:color w:val="000000"/>
                <w:sz w:val="19"/>
                <w:szCs w:val="19"/>
              </w:rPr>
              <w:t>一乡一品</w:t>
            </w:r>
            <w:r w:rsidRPr="00950D03">
              <w:rPr>
                <w:rFonts w:ascii="ˎ̥" w:eastAsia="宋体" w:hAnsi="ˎ̥" w:cs="宋体"/>
                <w:color w:val="000000"/>
                <w:sz w:val="19"/>
                <w:szCs w:val="19"/>
              </w:rPr>
              <w:t>”</w:t>
            </w:r>
            <w:r w:rsidRPr="00950D03">
              <w:rPr>
                <w:rFonts w:ascii="ˎ̥" w:eastAsia="宋体" w:hAnsi="ˎ̥" w:cs="宋体"/>
                <w:color w:val="000000"/>
                <w:sz w:val="19"/>
                <w:szCs w:val="19"/>
              </w:rPr>
              <w:t>等农业优势特色产业发展，结合本地实际编制县级涉农资金项目中期规划及项目计划，搭建涉农资金整合平台，引领涉农资金统筹整合和集中投入，逐步实现各类涉农项目资金的统一规划布局、统一资金拨付、统一组织实施、统一考核验收。（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2.</w:t>
            </w:r>
            <w:r w:rsidRPr="00950D03">
              <w:rPr>
                <w:rFonts w:ascii="ˎ̥" w:eastAsia="宋体" w:hAnsi="ˎ̥" w:cs="宋体"/>
                <w:color w:val="000000"/>
                <w:sz w:val="19"/>
                <w:szCs w:val="19"/>
              </w:rPr>
              <w:t>归并涉农资金。进一步完善现行涉农资金管理体系，按照涉农专项转移支付和涉农基建投资两大类，对部门内部交叉重复的涉农资金进行清理整合。对各级财政涉农专项转移支付资金，以农业生产发展、农业资源及生态保护、农村土地承包经营权确权登记颁证、动物防疫、农业综合开发、土地整治、林业生态保护恢复、林业改革发展、水利发展、大中型水库移民后期扶持、农业生产救灾及特大防汛抗旱等大专项为主体。对各级</w:t>
            </w:r>
            <w:r w:rsidRPr="00950D03">
              <w:rPr>
                <w:rFonts w:ascii="ˎ̥" w:eastAsia="宋体" w:hAnsi="ˎ̥" w:cs="宋体"/>
                <w:color w:val="000000"/>
                <w:sz w:val="19"/>
                <w:szCs w:val="19"/>
              </w:rPr>
              <w:lastRenderedPageBreak/>
              <w:t>涉农基本建设投资，以重大水利工程、水生态及中小河流治理等其他水利工程、农村饮水安全巩固提升、重大水利项目勘察设计等前期工作、农业生产发展、农业可持续发展、现代农业支撑体系、森林资源培育、重点区域生态保护与修复、生态保护支撑体系、农村民生工程等大专项为主体。市、县级财政预算安排的资金中，凡属于与以上资金使用性质和范围相同及其他能够实行统筹整合的资金，都应纳入整合范围。（省财政厅、省发展改革委、省国土资源厅、省农委、省水利厅、省林业厅、省海洋渔业厅、省畜牧局、省农垦局，各市政府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3.</w:t>
            </w:r>
            <w:r w:rsidRPr="00950D03">
              <w:rPr>
                <w:rFonts w:ascii="ˎ̥" w:eastAsia="宋体" w:hAnsi="ˎ̥" w:cs="宋体"/>
                <w:color w:val="000000"/>
                <w:sz w:val="19"/>
                <w:szCs w:val="19"/>
              </w:rPr>
              <w:t>加强内部整合。各有关部门要从预算编制环节入手，从源头整合涉农资金，避免部门内部资金项目设置分散、多头管理、交叉重复、结构固化。要加强本部门涉农资金集中统一管理，根据形势任务变化，合理设置专项资金，确定支出方向，不断优化支出结构，做到集中资金办大事。（省财政厅、省发展改革委、省国土资源厅、省农委、省水利厅、省林业厅、省海洋渔业厅、省畜牧局、省农垦局，各市政府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4.</w:t>
            </w:r>
            <w:r w:rsidRPr="00950D03">
              <w:rPr>
                <w:rFonts w:ascii="ˎ̥" w:eastAsia="宋体" w:hAnsi="ˎ̥" w:cs="宋体"/>
                <w:color w:val="000000"/>
                <w:sz w:val="19"/>
                <w:szCs w:val="19"/>
              </w:rPr>
              <w:t>推进跨部门统筹整合。在推动部门内部整合的基础上，着力加大部门间涉农资金统筹整合力度，在确保完成资金目标任务的前提下，将各级安排到县级的涉农资金，以及县级安排的涉农资金都纳入统筹整合范围，由县级政府根据农业农村发展规划，打造以重点区域、主导产业、重大项目为核心的涉农资金整合载体，统筹安排各级次、各渠道、各领域涉农资金。（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（二）改革涉农资金管理机制。</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1.</w:t>
            </w:r>
            <w:r w:rsidRPr="00950D03">
              <w:rPr>
                <w:rFonts w:ascii="ˎ̥" w:eastAsia="宋体" w:hAnsi="ˎ̥" w:cs="宋体"/>
                <w:color w:val="000000"/>
                <w:sz w:val="19"/>
                <w:szCs w:val="19"/>
              </w:rPr>
              <w:t>按照因素法、项目法等方式分配下达资金。除按照国家和省有关要求直接确定到具体项目的资金外，省级对下安排的涉农资金主要采取因素法切块方式下达。在保证完成国家和省下达任务的前提下，凡是能通过各地自然资源、工作任务、绩效结果等因素分配的支农资金，均采取因素法分配下达。省财政厅根据省级行业主管部门提出的涉农资金分配意见按程序切块下达。农业生产救灾、特大防汛抗旱等应急救灾资金，可根据灾情发生情况及时下达。市级安排的涉农资金可参照省级做法集中切块下达到县级。（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2.</w:t>
            </w:r>
            <w:r w:rsidRPr="00950D03">
              <w:rPr>
                <w:rFonts w:ascii="ˎ̥" w:eastAsia="宋体" w:hAnsi="ˎ̥" w:cs="宋体"/>
                <w:color w:val="000000"/>
                <w:sz w:val="19"/>
                <w:szCs w:val="19"/>
              </w:rPr>
              <w:t>推进</w:t>
            </w:r>
            <w:r w:rsidRPr="00950D03">
              <w:rPr>
                <w:rFonts w:ascii="ˎ̥" w:eastAsia="宋体" w:hAnsi="ˎ̥" w:cs="宋体"/>
                <w:color w:val="000000"/>
                <w:sz w:val="19"/>
                <w:szCs w:val="19"/>
              </w:rPr>
              <w:t>“</w:t>
            </w:r>
            <w:r w:rsidRPr="00950D03">
              <w:rPr>
                <w:rFonts w:ascii="ˎ̥" w:eastAsia="宋体" w:hAnsi="ˎ̥" w:cs="宋体"/>
                <w:color w:val="000000"/>
                <w:sz w:val="19"/>
                <w:szCs w:val="19"/>
              </w:rPr>
              <w:t>大专项</w:t>
            </w:r>
            <w:r w:rsidRPr="00950D03">
              <w:rPr>
                <w:rFonts w:ascii="ˎ̥" w:eastAsia="宋体" w:hAnsi="ˎ̥" w:cs="宋体"/>
                <w:color w:val="000000"/>
                <w:sz w:val="19"/>
                <w:szCs w:val="19"/>
              </w:rPr>
              <w:t>+</w:t>
            </w:r>
            <w:r w:rsidRPr="00950D03">
              <w:rPr>
                <w:rFonts w:ascii="ˎ̥" w:eastAsia="宋体" w:hAnsi="ˎ̥" w:cs="宋体"/>
                <w:color w:val="000000"/>
                <w:sz w:val="19"/>
                <w:szCs w:val="19"/>
              </w:rPr>
              <w:t>任务清单</w:t>
            </w:r>
            <w:r w:rsidRPr="00950D03">
              <w:rPr>
                <w:rFonts w:ascii="ˎ̥" w:eastAsia="宋体" w:hAnsi="ˎ̥" w:cs="宋体"/>
                <w:color w:val="000000"/>
                <w:sz w:val="19"/>
                <w:szCs w:val="19"/>
              </w:rPr>
              <w:t>”</w:t>
            </w:r>
            <w:r w:rsidRPr="00950D03">
              <w:rPr>
                <w:rFonts w:ascii="ˎ̥" w:eastAsia="宋体" w:hAnsi="ˎ̥" w:cs="宋体"/>
                <w:color w:val="000000"/>
                <w:sz w:val="19"/>
                <w:szCs w:val="19"/>
              </w:rPr>
              <w:t>管理模式。按照国家有关要求，在归并设置涉农资金专项的基础上，资金管理方式由项目管理向任务管理转变。省级</w:t>
            </w:r>
            <w:r w:rsidRPr="00950D03">
              <w:rPr>
                <w:rFonts w:ascii="ˎ̥" w:eastAsia="宋体" w:hAnsi="ˎ̥" w:cs="宋体"/>
                <w:color w:val="000000"/>
                <w:sz w:val="19"/>
                <w:szCs w:val="19"/>
              </w:rPr>
              <w:lastRenderedPageBreak/>
              <w:t>行业主管部门根据各项涉农资金保障内容设立任务清单，任务清单分为约束性任务和指导性任务。约束性任务主要包括党中央、国务院和省委、省政府明确要求的涉及国计民生事项、重大规划任务、新设试点任务以及农业生产救灾、特大防汛抗旱、对农民直接补贴等，约束性任务必须按期保质保量完成，涉及资金不得进行统筹整合。其他任务为指导性任务，允许县级在完成约束性任务的前提下，结合当地产业发展需要，区分轻重缓急，在同一大专项内调剂使用资金。（省财政厅、省发展改革委、省国土资源厅、省农委、省水利厅、省林业厅、省海洋渔业厅、省畜牧局、省农垦局，各市政府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3.</w:t>
            </w:r>
            <w:r w:rsidRPr="00950D03">
              <w:rPr>
                <w:rFonts w:ascii="ˎ̥" w:eastAsia="宋体" w:hAnsi="ˎ̥" w:cs="宋体"/>
                <w:color w:val="000000"/>
                <w:sz w:val="19"/>
                <w:szCs w:val="19"/>
              </w:rPr>
              <w:t>加大简政放权力度。按照国家有关规定，各地区、各有关部门应将具体项目审批权、验收权下放到县级，赋予县级相机施策和统筹资金的自主权和灵活度。省、市级有关部门主要负责业务指导和管理监督。市级应参照省级做法，研究确定市级涉农资金的任务清单，与省级下达的任务清单捆绑下达到县级。（省财政厅、省发展改革委、省国土资源厅、省农委、省水利厅、省林业厅、省海洋渔业厅、省畜牧局、省农垦局，各市政府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4.</w:t>
            </w:r>
            <w:r w:rsidRPr="00950D03">
              <w:rPr>
                <w:rFonts w:ascii="ˎ̥" w:eastAsia="宋体" w:hAnsi="ˎ̥" w:cs="宋体"/>
                <w:color w:val="000000"/>
                <w:sz w:val="19"/>
                <w:szCs w:val="19"/>
              </w:rPr>
              <w:t>实行综合绩效管理。健全完善科学全面的绩效评价指标体系，逐步由单项资金绩效考核向综合绩效考核转变。省财政厅会同有关部门制定和完善综合绩效评价办法，重点围绕组织协调、资金统筹整合、规划方案编制、项目完成情况等，建立科学合理的综合性绩效评价指标体系。将涉农资金整合工作纳入绩效评价指标体系，逐步建立以绩效评价结果为导向的涉农资金</w:t>
            </w:r>
            <w:r w:rsidRPr="00950D03">
              <w:rPr>
                <w:rFonts w:ascii="ˎ̥" w:eastAsia="宋体" w:hAnsi="ˎ̥" w:cs="宋体"/>
                <w:color w:val="000000"/>
                <w:sz w:val="19"/>
                <w:szCs w:val="19"/>
              </w:rPr>
              <w:t>“</w:t>
            </w:r>
            <w:r w:rsidRPr="00950D03">
              <w:rPr>
                <w:rFonts w:ascii="ˎ̥" w:eastAsia="宋体" w:hAnsi="ˎ̥" w:cs="宋体"/>
                <w:color w:val="000000"/>
                <w:sz w:val="19"/>
                <w:szCs w:val="19"/>
              </w:rPr>
              <w:t>大专项</w:t>
            </w:r>
            <w:r w:rsidRPr="00950D03">
              <w:rPr>
                <w:rFonts w:ascii="ˎ̥" w:eastAsia="宋体" w:hAnsi="ˎ̥" w:cs="宋体"/>
                <w:color w:val="000000"/>
                <w:sz w:val="19"/>
                <w:szCs w:val="19"/>
              </w:rPr>
              <w:t>+</w:t>
            </w:r>
            <w:r w:rsidRPr="00950D03">
              <w:rPr>
                <w:rFonts w:ascii="ˎ̥" w:eastAsia="宋体" w:hAnsi="ˎ̥" w:cs="宋体"/>
                <w:color w:val="000000"/>
                <w:sz w:val="19"/>
                <w:szCs w:val="19"/>
              </w:rPr>
              <w:t>任务清单</w:t>
            </w:r>
            <w:r w:rsidRPr="00950D03">
              <w:rPr>
                <w:rFonts w:ascii="ˎ̥" w:eastAsia="宋体" w:hAnsi="ˎ̥" w:cs="宋体"/>
                <w:color w:val="000000"/>
                <w:sz w:val="19"/>
                <w:szCs w:val="19"/>
              </w:rPr>
              <w:t>”</w:t>
            </w:r>
            <w:r w:rsidRPr="00950D03">
              <w:rPr>
                <w:rFonts w:ascii="ˎ̥" w:eastAsia="宋体" w:hAnsi="ˎ̥" w:cs="宋体"/>
                <w:color w:val="000000"/>
                <w:sz w:val="19"/>
                <w:szCs w:val="19"/>
              </w:rPr>
              <w:t>设置机制和资金分配激励约束机制。（省财政厅、省发展改革委、省国土资源厅、省农委、省水利厅、省林业厅、省海洋渔业厅、省畜牧局、省农垦局等负责；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5.</w:t>
            </w:r>
            <w:r w:rsidRPr="00950D03">
              <w:rPr>
                <w:rFonts w:ascii="ˎ̥" w:eastAsia="宋体" w:hAnsi="ˎ̥" w:cs="宋体"/>
                <w:color w:val="000000"/>
                <w:sz w:val="19"/>
                <w:szCs w:val="19"/>
              </w:rPr>
              <w:t>强化整合制度保障。省级有关部门要加强与国家相关部委的沟通衔接，按照涉农资金管理的权限和程序，为县级统筹整合营造相对宽松的政策环境。各有关部门要积极支持县级开展统筹整合工作，不得因统筹整合而减少资金扶持。除约束性任务外，任何部门不得指定具体项目，不得以各种理由限制、阻碍涉农资金统筹整合。（省财政厅、省发展改革委、省国土资源厅、省农委、省水利厅、省林业厅、省海洋渔业厅、省畜牧局、省农垦局，各市政府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color w:val="000000"/>
                <w:sz w:val="19"/>
                <w:szCs w:val="19"/>
              </w:rPr>
              <w:t>6.</w:t>
            </w:r>
            <w:r w:rsidRPr="00950D03">
              <w:rPr>
                <w:rFonts w:ascii="ˎ̥" w:eastAsia="宋体" w:hAnsi="ˎ̥" w:cs="宋体"/>
                <w:color w:val="000000"/>
                <w:sz w:val="19"/>
                <w:szCs w:val="19"/>
              </w:rPr>
              <w:t>加大信息公开力度。全面推进信息公开，健全公告公示制度。涉农资金的统筹整合方案决策前要广泛听取各方意见，项目资金管理办法、资金规模、扶持范围、分配结果等要按规定向社会公开。利用互联网、大数据等信息化手段，探索实行</w:t>
            </w:r>
            <w:r w:rsidRPr="00950D03">
              <w:rPr>
                <w:rFonts w:ascii="ˎ̥" w:eastAsia="宋体" w:hAnsi="ˎ̥" w:cs="宋体"/>
                <w:color w:val="000000"/>
                <w:sz w:val="19"/>
                <w:szCs w:val="19"/>
              </w:rPr>
              <w:t>“</w:t>
            </w:r>
            <w:r w:rsidRPr="00950D03">
              <w:rPr>
                <w:rFonts w:ascii="ˎ̥" w:eastAsia="宋体" w:hAnsi="ˎ̥" w:cs="宋体"/>
                <w:color w:val="000000"/>
                <w:sz w:val="19"/>
                <w:szCs w:val="19"/>
              </w:rPr>
              <w:t>互联网</w:t>
            </w:r>
            <w:r w:rsidRPr="00950D03">
              <w:rPr>
                <w:rFonts w:ascii="ˎ̥" w:eastAsia="宋体" w:hAnsi="ˎ̥" w:cs="宋体"/>
                <w:color w:val="000000"/>
                <w:sz w:val="19"/>
                <w:szCs w:val="19"/>
              </w:rPr>
              <w:t>+</w:t>
            </w:r>
            <w:r w:rsidRPr="00950D03">
              <w:rPr>
                <w:rFonts w:ascii="ˎ̥" w:eastAsia="宋体" w:hAnsi="ˎ̥" w:cs="宋体"/>
                <w:color w:val="000000"/>
                <w:sz w:val="19"/>
                <w:szCs w:val="19"/>
              </w:rPr>
              <w:t>监管</w:t>
            </w:r>
            <w:r w:rsidRPr="00950D03">
              <w:rPr>
                <w:rFonts w:ascii="ˎ̥" w:eastAsia="宋体" w:hAnsi="ˎ̥" w:cs="宋体"/>
                <w:color w:val="000000"/>
                <w:sz w:val="19"/>
                <w:szCs w:val="19"/>
              </w:rPr>
              <w:t>”</w:t>
            </w:r>
            <w:r w:rsidRPr="00950D03">
              <w:rPr>
                <w:rFonts w:ascii="ˎ̥" w:eastAsia="宋体" w:hAnsi="ˎ̥" w:cs="宋体"/>
                <w:color w:val="000000"/>
                <w:sz w:val="19"/>
                <w:szCs w:val="19"/>
              </w:rPr>
              <w:t>新模式。推动县级建立统一的涉农资金信息公开网络平台。各市应结合涉农资金管理使用情况，明确不同层级公告公示的具体要求和工作程序。建立健全村务监督机制，完善行政</w:t>
            </w:r>
            <w:r w:rsidRPr="00950D03">
              <w:rPr>
                <w:rFonts w:ascii="ˎ̥" w:eastAsia="宋体" w:hAnsi="ˎ̥" w:cs="宋体"/>
                <w:color w:val="000000"/>
                <w:sz w:val="19"/>
                <w:szCs w:val="19"/>
              </w:rPr>
              <w:lastRenderedPageBreak/>
              <w:t>村公告公示制度。（省财政厅、省发展改革委、省国土资源厅、省农委、省水利厅、省林业厅、省海洋渔业厅、省畜牧局、省农垦局，各市政府等负责；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w:t>
            </w:r>
            <w:r w:rsidRPr="00950D03">
              <w:rPr>
                <w:rFonts w:ascii="ˎ̥" w:eastAsia="宋体" w:hAnsi="ˎ̥" w:cs="宋体"/>
                <w:b/>
                <w:bCs/>
                <w:color w:val="000000"/>
                <w:sz w:val="19"/>
                <w:szCs w:val="19"/>
              </w:rPr>
              <w:t>三、保障措施</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一）加强组织领导。各级政府要建立政府统一领导、相关部门参与的涉农资金统筹整合领导小组及办公室，统一思想认识，加大协调力度，狠抓工作落实。各市要结合实际制定实施方案，按照国家和省确定的工作目标和时间节点，科学设立整合平台，明确部门责任分工，细化时间表、路线图，于</w:t>
            </w:r>
            <w:r w:rsidRPr="00950D03">
              <w:rPr>
                <w:rFonts w:ascii="ˎ̥" w:eastAsia="宋体" w:hAnsi="ˎ̥" w:cs="宋体"/>
                <w:color w:val="000000"/>
                <w:sz w:val="19"/>
                <w:szCs w:val="19"/>
              </w:rPr>
              <w:t>2018</w:t>
            </w:r>
            <w:r w:rsidRPr="00950D03">
              <w:rPr>
                <w:rFonts w:ascii="ˎ̥" w:eastAsia="宋体" w:hAnsi="ˎ̥" w:cs="宋体"/>
                <w:color w:val="000000"/>
                <w:sz w:val="19"/>
                <w:szCs w:val="19"/>
              </w:rPr>
              <w:t>年</w:t>
            </w:r>
            <w:r w:rsidRPr="00950D03">
              <w:rPr>
                <w:rFonts w:ascii="ˎ̥" w:eastAsia="宋体" w:hAnsi="ˎ̥" w:cs="宋体"/>
                <w:color w:val="000000"/>
                <w:sz w:val="19"/>
                <w:szCs w:val="19"/>
              </w:rPr>
              <w:t>7</w:t>
            </w:r>
            <w:r w:rsidRPr="00950D03">
              <w:rPr>
                <w:rFonts w:ascii="ˎ̥" w:eastAsia="宋体" w:hAnsi="ˎ̥" w:cs="宋体"/>
                <w:color w:val="000000"/>
                <w:sz w:val="19"/>
                <w:szCs w:val="19"/>
              </w:rPr>
              <w:t>月</w:t>
            </w:r>
            <w:r w:rsidRPr="00950D03">
              <w:rPr>
                <w:rFonts w:ascii="ˎ̥" w:eastAsia="宋体" w:hAnsi="ˎ̥" w:cs="宋体"/>
                <w:color w:val="000000"/>
                <w:sz w:val="19"/>
                <w:szCs w:val="19"/>
              </w:rPr>
              <w:t>31</w:t>
            </w:r>
            <w:r w:rsidRPr="00950D03">
              <w:rPr>
                <w:rFonts w:ascii="ˎ̥" w:eastAsia="宋体" w:hAnsi="ˎ̥" w:cs="宋体"/>
                <w:color w:val="000000"/>
                <w:sz w:val="19"/>
                <w:szCs w:val="19"/>
              </w:rPr>
              <w:t>前报省财政厅备案；每年</w:t>
            </w:r>
            <w:r w:rsidRPr="00950D03">
              <w:rPr>
                <w:rFonts w:ascii="ˎ̥" w:eastAsia="宋体" w:hAnsi="ˎ̥" w:cs="宋体"/>
                <w:color w:val="000000"/>
                <w:sz w:val="19"/>
                <w:szCs w:val="19"/>
              </w:rPr>
              <w:t>9</w:t>
            </w:r>
            <w:r w:rsidRPr="00950D03">
              <w:rPr>
                <w:rFonts w:ascii="ˎ̥" w:eastAsia="宋体" w:hAnsi="ˎ̥" w:cs="宋体"/>
                <w:color w:val="000000"/>
                <w:sz w:val="19"/>
                <w:szCs w:val="19"/>
              </w:rPr>
              <w:t>月</w:t>
            </w:r>
            <w:r w:rsidRPr="00950D03">
              <w:rPr>
                <w:rFonts w:ascii="ˎ̥" w:eastAsia="宋体" w:hAnsi="ˎ̥" w:cs="宋体"/>
                <w:color w:val="000000"/>
                <w:sz w:val="19"/>
                <w:szCs w:val="19"/>
              </w:rPr>
              <w:t>30</w:t>
            </w:r>
            <w:r w:rsidRPr="00950D03">
              <w:rPr>
                <w:rFonts w:ascii="ˎ̥" w:eastAsia="宋体" w:hAnsi="ˎ̥" w:cs="宋体"/>
                <w:color w:val="000000"/>
                <w:sz w:val="19"/>
                <w:szCs w:val="19"/>
              </w:rPr>
              <w:t>日前将下一年度统筹整合方案报送省涉农资金统筹整合领导小组各成员单位，为各有关部门在预算编制和预算执行环节统筹整合涉农项目资金提供参考依据；每年年底前将涉农资金统筹整合年度工作总结报省涉农资金统筹整合工作领导小组办公室。（各市政府负责，</w:t>
            </w:r>
            <w:r w:rsidRPr="00950D03">
              <w:rPr>
                <w:rFonts w:ascii="ˎ̥" w:eastAsia="宋体" w:hAnsi="ˎ̥" w:cs="宋体"/>
                <w:color w:val="000000"/>
                <w:sz w:val="19"/>
                <w:szCs w:val="19"/>
              </w:rPr>
              <w:t>2018</w:t>
            </w:r>
            <w:r w:rsidRPr="00950D03">
              <w:rPr>
                <w:rFonts w:ascii="ˎ̥" w:eastAsia="宋体" w:hAnsi="ˎ̥" w:cs="宋体"/>
                <w:color w:val="000000"/>
                <w:sz w:val="19"/>
                <w:szCs w:val="19"/>
              </w:rPr>
              <w:t>年基本建成并持续加强领导）</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二）明确责任分工。各有关部门要加强沟通配合，财政部门以资金管理为抓手支持依法依规推进涉农资金统筹整合，行业主管部门以规划方案为依据推进各项任务落实，形成齐抓共管、分工协作的工作格局。下放项目资金管理权限，建立目标、任务、资金、责任</w:t>
            </w:r>
            <w:r w:rsidRPr="00950D03">
              <w:rPr>
                <w:rFonts w:ascii="ˎ̥" w:eastAsia="宋体" w:hAnsi="ˎ̥" w:cs="宋体"/>
                <w:color w:val="000000"/>
                <w:sz w:val="19"/>
                <w:szCs w:val="19"/>
              </w:rPr>
              <w:t>“</w:t>
            </w:r>
            <w:r w:rsidRPr="00950D03">
              <w:rPr>
                <w:rFonts w:ascii="ˎ̥" w:eastAsia="宋体" w:hAnsi="ˎ̥" w:cs="宋体"/>
                <w:color w:val="000000"/>
                <w:sz w:val="19"/>
                <w:szCs w:val="19"/>
              </w:rPr>
              <w:t>四到县</w:t>
            </w:r>
            <w:r w:rsidRPr="00950D03">
              <w:rPr>
                <w:rFonts w:ascii="ˎ̥" w:eastAsia="宋体" w:hAnsi="ˎ̥" w:cs="宋体"/>
                <w:color w:val="000000"/>
                <w:sz w:val="19"/>
                <w:szCs w:val="19"/>
              </w:rPr>
              <w:t>”</w:t>
            </w:r>
            <w:r w:rsidRPr="00950D03">
              <w:rPr>
                <w:rFonts w:ascii="ˎ̥" w:eastAsia="宋体" w:hAnsi="ˎ̥" w:cs="宋体"/>
                <w:color w:val="000000"/>
                <w:sz w:val="19"/>
                <w:szCs w:val="19"/>
              </w:rPr>
              <w:t>涉农资金管理体制。县级要按照</w:t>
            </w:r>
            <w:r w:rsidRPr="00950D03">
              <w:rPr>
                <w:rFonts w:ascii="ˎ̥" w:eastAsia="宋体" w:hAnsi="ˎ̥" w:cs="宋体"/>
                <w:color w:val="000000"/>
                <w:sz w:val="19"/>
                <w:szCs w:val="19"/>
              </w:rPr>
              <w:t>“</w:t>
            </w:r>
            <w:r w:rsidRPr="00950D03">
              <w:rPr>
                <w:rFonts w:ascii="ˎ̥" w:eastAsia="宋体" w:hAnsi="ˎ̥" w:cs="宋体"/>
                <w:color w:val="000000"/>
                <w:sz w:val="19"/>
                <w:szCs w:val="19"/>
              </w:rPr>
              <w:t>接得住、用得好、管得严</w:t>
            </w:r>
            <w:r w:rsidRPr="00950D03">
              <w:rPr>
                <w:rFonts w:ascii="ˎ̥" w:eastAsia="宋体" w:hAnsi="ˎ̥" w:cs="宋体"/>
                <w:color w:val="000000"/>
                <w:sz w:val="19"/>
                <w:szCs w:val="19"/>
              </w:rPr>
              <w:t>”</w:t>
            </w:r>
            <w:r w:rsidRPr="00950D03">
              <w:rPr>
                <w:rFonts w:ascii="ˎ̥" w:eastAsia="宋体" w:hAnsi="ˎ̥" w:cs="宋体"/>
                <w:color w:val="000000"/>
                <w:sz w:val="19"/>
                <w:szCs w:val="19"/>
              </w:rPr>
              <w:t>的要求，切实抓好统筹整合工作，确保资金依法依规使用，工作任务按计划完成；制定整合方案报市政府备案后组织实施，项目完工后，统一组织竣工验收并向市政府报备。（省财政厅、省发展改革委、省国土资源厅、省农委、省水利厅、省林业厅、省海洋渔业厅、省畜牧局、省农垦局，各市政府等负责；</w:t>
            </w:r>
            <w:r w:rsidRPr="00950D03">
              <w:rPr>
                <w:rFonts w:ascii="ˎ̥" w:eastAsia="宋体" w:hAnsi="ˎ̥" w:cs="宋体"/>
                <w:color w:val="000000"/>
                <w:sz w:val="19"/>
                <w:szCs w:val="19"/>
              </w:rPr>
              <w:t>2019</w:t>
            </w:r>
            <w:r w:rsidRPr="00950D03">
              <w:rPr>
                <w:rFonts w:ascii="ˎ̥" w:eastAsia="宋体" w:hAnsi="ˎ̥" w:cs="宋体"/>
                <w:color w:val="000000"/>
                <w:sz w:val="19"/>
                <w:szCs w:val="19"/>
              </w:rPr>
              <w:t>年基本完成并逐步完善）</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三）健全配套制度。各地区、各有关部门要根据统筹整合要求，进一步修订完善涉农项目资金管理办法，既要严格规范资金使用管理，保障资金安全运行，又要与涉农资金统筹整合做好衔接，增强政策可操作性。要围绕加强资金和项目管理，进一步建立健全管理制度，明确统筹整合后的项目申报审批、招投标、组织实施、竣工验收等项目管理，以及资金拨付、会计核算、科目列支等资金管理方面的规定，以完备的管理制度引导和保障涉农资金整合的规范有效运行。（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四）加大监管力度。统筹整合涉农资金必须用于农业生产发展和必要的农村基础设施建设，不得用于非农领域，不得建设农民群众不满意、没有推广价值的形象工程。要建立健全事前、事中、事后全过程管理体系，形成权责明确、有效制衡、齐抓共管的监管格局。发挥各级财政监督检查机构的作用，加大监督检查力度，加强考核问责，严肃查处各类违纪</w:t>
            </w:r>
            <w:r w:rsidRPr="00950D03">
              <w:rPr>
                <w:rFonts w:ascii="ˎ̥" w:eastAsia="宋体" w:hAnsi="ˎ̥" w:cs="宋体"/>
                <w:color w:val="000000"/>
                <w:sz w:val="19"/>
                <w:szCs w:val="19"/>
              </w:rPr>
              <w:lastRenderedPageBreak/>
              <w:t>违法违规行为，对统筹整合过程中骗取、冒领、挤占、截留、挪用涉农资金的，依纪依法依规追究相关单位和责任人的责任。（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br/>
            </w:r>
            <w:r w:rsidRPr="00950D03">
              <w:rPr>
                <w:rFonts w:ascii="ˎ̥" w:eastAsia="宋体" w:hAnsi="ˎ̥" w:cs="宋体"/>
                <w:color w:val="000000"/>
                <w:sz w:val="19"/>
                <w:szCs w:val="19"/>
              </w:rPr>
              <w:t xml:space="preserve">　　（五）加强舆论宣传。各地区、各有关部门要认真总结和推广在涉农资金统筹整合过程中的好经验、好做法和取得的积极成效，加强信息报送和政策宣传，注重宣传的引导性和时效性，努力营造全社会关心、支持涉农资金统筹整合的良好环境，推动全省涉农资金统筹整合工作顺利开展。（省财政厅、省发展改革委、省国土资源厅、省农委、省水利厅、省林业厅、省海洋渔业厅、省畜牧局、省农垦局，各市政府等负责；</w:t>
            </w:r>
            <w:r w:rsidRPr="00950D03">
              <w:rPr>
                <w:rFonts w:ascii="ˎ̥" w:eastAsia="宋体" w:hAnsi="ˎ̥" w:cs="宋体"/>
                <w:color w:val="000000"/>
                <w:sz w:val="19"/>
                <w:szCs w:val="19"/>
              </w:rPr>
              <w:t>2018</w:t>
            </w:r>
            <w:r w:rsidRPr="00950D03">
              <w:rPr>
                <w:rFonts w:ascii="ˎ̥" w:eastAsia="宋体" w:hAnsi="ˎ̥" w:cs="宋体"/>
                <w:color w:val="000000"/>
                <w:sz w:val="19"/>
                <w:szCs w:val="19"/>
              </w:rPr>
              <w:t>年起持续推进）</w:t>
            </w:r>
            <w:r w:rsidRPr="00950D03">
              <w:rPr>
                <w:rFonts w:ascii="ˎ̥" w:eastAsia="宋体" w:hAnsi="ˎ̥" w:cs="宋体"/>
                <w:color w:val="000000"/>
                <w:sz w:val="19"/>
                <w:szCs w:val="19"/>
              </w:rPr>
              <w:t xml:space="preserve"> </w:t>
            </w:r>
          </w:p>
          <w:p w:rsidR="00950D03" w:rsidRPr="00950D03" w:rsidRDefault="00950D03" w:rsidP="00950D03">
            <w:pPr>
              <w:adjustRightInd/>
              <w:snapToGrid/>
              <w:spacing w:before="100" w:beforeAutospacing="1" w:after="100" w:afterAutospacing="1" w:line="360" w:lineRule="atLeast"/>
              <w:jc w:val="right"/>
              <w:rPr>
                <w:rFonts w:ascii="ˎ̥" w:eastAsia="宋体" w:hAnsi="ˎ̥" w:cs="宋体"/>
                <w:color w:val="000000"/>
                <w:sz w:val="19"/>
                <w:szCs w:val="19"/>
              </w:rPr>
            </w:pPr>
            <w:r w:rsidRPr="00950D03">
              <w:rPr>
                <w:rFonts w:ascii="ˎ̥" w:eastAsia="宋体" w:hAnsi="ˎ̥" w:cs="宋体"/>
                <w:color w:val="000000"/>
                <w:sz w:val="19"/>
                <w:szCs w:val="19"/>
              </w:rPr>
              <w:t>辽宁省人民政府</w:t>
            </w:r>
            <w:r w:rsidRPr="00950D03">
              <w:rPr>
                <w:rFonts w:ascii="ˎ̥" w:eastAsia="宋体" w:hAnsi="ˎ̥" w:cs="宋体"/>
                <w:color w:val="000000"/>
                <w:sz w:val="19"/>
                <w:szCs w:val="19"/>
              </w:rPr>
              <w:t xml:space="preserve">           </w:t>
            </w:r>
            <w:r w:rsidRPr="00950D03">
              <w:rPr>
                <w:rFonts w:ascii="ˎ̥" w:eastAsia="宋体" w:hAnsi="ˎ̥" w:cs="宋体"/>
                <w:color w:val="000000"/>
                <w:sz w:val="19"/>
                <w:szCs w:val="19"/>
              </w:rPr>
              <w:br/>
              <w:t>2018</w:t>
            </w:r>
            <w:r w:rsidRPr="00950D03">
              <w:rPr>
                <w:rFonts w:ascii="ˎ̥" w:eastAsia="宋体" w:hAnsi="ˎ̥" w:cs="宋体"/>
                <w:color w:val="000000"/>
                <w:sz w:val="19"/>
                <w:szCs w:val="19"/>
              </w:rPr>
              <w:t>年</w:t>
            </w:r>
            <w:r w:rsidRPr="00950D03">
              <w:rPr>
                <w:rFonts w:ascii="ˎ̥" w:eastAsia="宋体" w:hAnsi="ˎ̥" w:cs="宋体"/>
                <w:color w:val="000000"/>
                <w:sz w:val="19"/>
                <w:szCs w:val="19"/>
              </w:rPr>
              <w:t>6</w:t>
            </w:r>
            <w:r w:rsidRPr="00950D03">
              <w:rPr>
                <w:rFonts w:ascii="ˎ̥" w:eastAsia="宋体" w:hAnsi="ˎ̥" w:cs="宋体"/>
                <w:color w:val="000000"/>
                <w:sz w:val="19"/>
                <w:szCs w:val="19"/>
              </w:rPr>
              <w:t>月</w:t>
            </w:r>
            <w:r w:rsidRPr="00950D03">
              <w:rPr>
                <w:rFonts w:ascii="ˎ̥" w:eastAsia="宋体" w:hAnsi="ˎ̥" w:cs="宋体"/>
                <w:color w:val="000000"/>
                <w:sz w:val="19"/>
                <w:szCs w:val="19"/>
              </w:rPr>
              <w:t>29</w:t>
            </w:r>
            <w:r w:rsidRPr="00950D03">
              <w:rPr>
                <w:rFonts w:ascii="ˎ̥" w:eastAsia="宋体" w:hAnsi="ˎ̥" w:cs="宋体"/>
                <w:color w:val="000000"/>
                <w:sz w:val="19"/>
                <w:szCs w:val="19"/>
              </w:rPr>
              <w:t>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50D03"/>
    <w:rsid w:val="00A224E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0D03"/>
    <w:pPr>
      <w:adjustRightInd/>
      <w:snapToGrid/>
      <w:spacing w:before="100" w:beforeAutospacing="1" w:after="100" w:afterAutospacing="1"/>
    </w:pPr>
    <w:rPr>
      <w:rFonts w:ascii="宋体" w:eastAsia="宋体" w:hAnsi="宋体" w:cs="宋体"/>
      <w:sz w:val="24"/>
      <w:szCs w:val="24"/>
    </w:rPr>
  </w:style>
  <w:style w:type="paragraph" w:styleId="a4">
    <w:name w:val="Balloon Text"/>
    <w:basedOn w:val="a"/>
    <w:link w:val="Char"/>
    <w:uiPriority w:val="99"/>
    <w:semiHidden/>
    <w:unhideWhenUsed/>
    <w:rsid w:val="00950D03"/>
    <w:pPr>
      <w:spacing w:after="0"/>
    </w:pPr>
    <w:rPr>
      <w:sz w:val="18"/>
      <w:szCs w:val="18"/>
    </w:rPr>
  </w:style>
  <w:style w:type="character" w:customStyle="1" w:styleId="Char">
    <w:name w:val="批注框文本 Char"/>
    <w:basedOn w:val="a0"/>
    <w:link w:val="a4"/>
    <w:uiPriority w:val="99"/>
    <w:semiHidden/>
    <w:rsid w:val="00950D0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67777112">
      <w:bodyDiv w:val="1"/>
      <w:marLeft w:val="0"/>
      <w:marRight w:val="0"/>
      <w:marTop w:val="0"/>
      <w:marBottom w:val="0"/>
      <w:divBdr>
        <w:top w:val="none" w:sz="0" w:space="0" w:color="auto"/>
        <w:left w:val="none" w:sz="0" w:space="0" w:color="auto"/>
        <w:bottom w:val="none" w:sz="0" w:space="0" w:color="auto"/>
        <w:right w:val="none" w:sz="0" w:space="0" w:color="auto"/>
      </w:divBdr>
      <w:divsChild>
        <w:div w:id="19671051">
          <w:marLeft w:val="0"/>
          <w:marRight w:val="0"/>
          <w:marTop w:val="0"/>
          <w:marBottom w:val="0"/>
          <w:divBdr>
            <w:top w:val="none" w:sz="0" w:space="0" w:color="auto"/>
            <w:left w:val="none" w:sz="0" w:space="0" w:color="auto"/>
            <w:bottom w:val="none" w:sz="0" w:space="0" w:color="auto"/>
            <w:right w:val="none" w:sz="0" w:space="0" w:color="auto"/>
          </w:divBdr>
          <w:divsChild>
            <w:div w:id="19887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2018-09-23T13:50:00Z</dcterms:modified>
</cp:coreProperties>
</file>