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BB8" w:rsidRPr="003D2BB8" w:rsidRDefault="003D2BB8" w:rsidP="003D2BB8">
      <w:pPr>
        <w:widowControl/>
        <w:spacing w:before="100" w:beforeAutospacing="1" w:after="100" w:afterAutospacing="1" w:line="620" w:lineRule="exac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方正小标宋_GBK" w:hAnsi="Times New Roman" w:cs="Times New Roman"/>
          <w:color w:val="333333"/>
          <w:sz w:val="44"/>
          <w:szCs w:val="44"/>
        </w:rPr>
        <w:t>上饶市人民政府办公厅关于进一步加快</w:t>
      </w:r>
    </w:p>
    <w:p w:rsidR="003D2BB8" w:rsidRPr="003D2BB8" w:rsidRDefault="003D2BB8" w:rsidP="003D2BB8">
      <w:pPr>
        <w:widowControl/>
        <w:spacing w:before="100" w:beforeAutospacing="1" w:after="100" w:afterAutospacing="1" w:line="620" w:lineRule="exac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方正小标宋_GBK" w:hAnsi="Times New Roman" w:cs="Times New Roman"/>
          <w:color w:val="333333"/>
          <w:sz w:val="44"/>
          <w:szCs w:val="44"/>
        </w:rPr>
        <w:t>我市油茶产业发展的意见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各县（市、区）人民政府，上饶经济技术开发区、三清山风景名胜区管委会，市政府</w:t>
      </w: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>各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部门：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为加快油茶产业发展，实现绿色崛起，根据《江西省人民政府办公厅关于进一步加快油茶产业发展的意见》（赣府厅发〔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2015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〕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39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号）精神，结合我市实际，特制定本意见。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黑体" w:hAnsi="Times New Roman" w:cs="Times New Roman"/>
          <w:color w:val="333333"/>
          <w:sz w:val="32"/>
          <w:szCs w:val="32"/>
        </w:rPr>
        <w:t>一、指导思想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以习近平总书记系列重要讲话和省委十三届十一次全会、市委三届九次全会精神为指导，按照科学规划、政府引导、项目带动、社会参与、多元投入的工作思路，以全国生态文明先行示范区建设为引领，强化绿色崛起和绿色化理念，以科技支撑和机制创新为手段，着力培育龙头企业和新型经营主体，逐步推进</w:t>
      </w:r>
      <w:r w:rsidRPr="003D2BB8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000000"/>
          <w:sz w:val="32"/>
          <w:szCs w:val="32"/>
        </w:rPr>
        <w:t>开发生态化、适度规模化、经营集约化、管理科学化、技术标准化</w:t>
      </w:r>
      <w:r w:rsidRPr="003D2BB8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3D2BB8">
        <w:rPr>
          <w:rFonts w:ascii="仿宋_GB2312" w:eastAsia="仿宋_GB2312" w:hAnsi="Times New Roman" w:cs="Times New Roman"/>
          <w:color w:val="000000"/>
          <w:sz w:val="32"/>
          <w:szCs w:val="32"/>
        </w:rPr>
        <w:t>的</w:t>
      </w:r>
      <w:r w:rsidRPr="003D2BB8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000000"/>
          <w:sz w:val="32"/>
          <w:szCs w:val="32"/>
        </w:rPr>
        <w:t>五化</w:t>
      </w:r>
      <w:r w:rsidRPr="003D2BB8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发展，实现精准扶贫和农民致富。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黑体" w:hAnsi="Times New Roman" w:cs="Times New Roman"/>
          <w:color w:val="333333"/>
          <w:sz w:val="32"/>
          <w:szCs w:val="32"/>
        </w:rPr>
        <w:t>二、基本原则</w:t>
      </w:r>
    </w:p>
    <w:p w:rsidR="003D2BB8" w:rsidRPr="003D2BB8" w:rsidRDefault="003D2BB8" w:rsidP="003D2BB8">
      <w:pPr>
        <w:widowControl/>
        <w:spacing w:line="360" w:lineRule="atLeast"/>
        <w:ind w:firstLineChars="199" w:firstLine="639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kern w:val="0"/>
          <w:sz w:val="32"/>
          <w:szCs w:val="32"/>
        </w:rPr>
        <w:lastRenderedPageBreak/>
        <w:t>1</w:t>
      </w:r>
      <w:r w:rsidRPr="003D2BB8">
        <w:rPr>
          <w:rFonts w:ascii="楷体_GB2312" w:eastAsia="楷体_GB2312" w:hAnsi="Times New Roman" w:cs="Times New Roman"/>
          <w:b/>
          <w:bCs/>
          <w:color w:val="333333"/>
          <w:kern w:val="0"/>
          <w:sz w:val="32"/>
          <w:szCs w:val="32"/>
        </w:rPr>
        <w:t>．坚持经济效益与生态效益兼顾。</w:t>
      </w:r>
      <w:r w:rsidRPr="003D2BB8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在坚持生态优先的基础上，科学制定和实施油茶产业规划，严禁在生态公益林、水源涵养林、天然阔叶林等重点生态区域营造油茶林，立足绿色、生态、富民和</w:t>
      </w:r>
      <w:proofErr w:type="gramStart"/>
      <w:r w:rsidRPr="003D2BB8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可</w:t>
      </w:r>
      <w:proofErr w:type="gramEnd"/>
      <w:r w:rsidRPr="003D2BB8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持续，促进油茶产业与林业生态建设协调发展。</w:t>
      </w:r>
    </w:p>
    <w:p w:rsidR="003D2BB8" w:rsidRPr="003D2BB8" w:rsidRDefault="003D2BB8" w:rsidP="003D2BB8">
      <w:pPr>
        <w:widowControl/>
        <w:spacing w:line="360" w:lineRule="atLeast"/>
        <w:ind w:firstLineChars="199" w:firstLine="639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2</w:t>
      </w:r>
      <w:r w:rsidRPr="003D2BB8">
        <w:rPr>
          <w:rFonts w:ascii="Times New Roman" w:eastAsia="楷体_GB2312" w:hAnsi="Times New Roman" w:cs="Times New Roman"/>
          <w:b/>
          <w:bCs/>
          <w:color w:val="333333"/>
          <w:kern w:val="0"/>
          <w:sz w:val="32"/>
          <w:szCs w:val="32"/>
        </w:rPr>
        <w:t>．</w:t>
      </w: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坚持市场导向与新型经营主体培育相结合。</w:t>
      </w:r>
      <w:r w:rsidRPr="003D2BB8">
        <w:rPr>
          <w:rFonts w:ascii="Times New Roman" w:eastAsia="仿宋_GB2312" w:hAnsi="Times New Roman" w:cs="Times New Roman"/>
          <w:color w:val="000000"/>
          <w:sz w:val="32"/>
          <w:szCs w:val="32"/>
        </w:rPr>
        <w:t>充分发挥市场在资源配置中的决定性作用，按照市场需求，重点扶持龙头企业、专业合作社、家庭林场，提高农民组织化程度。</w:t>
      </w:r>
    </w:p>
    <w:p w:rsidR="003D2BB8" w:rsidRPr="003D2BB8" w:rsidRDefault="003D2BB8" w:rsidP="003D2BB8">
      <w:pPr>
        <w:widowControl/>
        <w:spacing w:line="360" w:lineRule="atLeast"/>
        <w:ind w:firstLineChars="199" w:firstLine="639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3</w:t>
      </w:r>
      <w:r w:rsidRPr="003D2BB8">
        <w:rPr>
          <w:rFonts w:ascii="Times New Roman" w:eastAsia="楷体_GB2312" w:hAnsi="Times New Roman" w:cs="Times New Roman"/>
          <w:b/>
          <w:bCs/>
          <w:color w:val="333333"/>
          <w:kern w:val="0"/>
          <w:sz w:val="32"/>
          <w:szCs w:val="32"/>
        </w:rPr>
        <w:t>．</w:t>
      </w: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坚持科技支撑与整合品牌相结合。</w:t>
      </w:r>
      <w:r w:rsidRPr="003D2BB8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引进和推广新技术、新设备、新工艺，开发精深加工系列产品，实现油茶产业的不断优化升级。全面推进标准化生产，进一步整合油茶品牌，提高生产、加工环节的科技含量，增加附加值，增强市场竞争能力。</w:t>
      </w: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 xml:space="preserve">  </w:t>
      </w:r>
    </w:p>
    <w:p w:rsidR="003D2BB8" w:rsidRPr="003D2BB8" w:rsidRDefault="003D2BB8" w:rsidP="003D2BB8">
      <w:pPr>
        <w:widowControl/>
        <w:spacing w:line="360" w:lineRule="atLeast"/>
        <w:ind w:firstLineChars="196" w:firstLine="630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4</w:t>
      </w:r>
      <w:r w:rsidRPr="003D2BB8">
        <w:rPr>
          <w:rFonts w:ascii="Times New Roman" w:eastAsia="楷体_GB2312" w:hAnsi="Times New Roman" w:cs="Times New Roman"/>
          <w:b/>
          <w:bCs/>
          <w:color w:val="333333"/>
          <w:kern w:val="0"/>
          <w:sz w:val="32"/>
          <w:szCs w:val="32"/>
        </w:rPr>
        <w:t>．</w:t>
      </w: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坚持政府引导与尊重农户意愿相结合。</w:t>
      </w:r>
      <w:r w:rsidRPr="003D2BB8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根据各地林地、油茶资源情况和农民意愿，选择适合当地油茶产业发展的模式和方式，科学合理规划，带动林农致富。同时积极争取国家、省项目资金和政策扶持，鼓励地方财政扶持油茶产业发展。</w:t>
      </w:r>
      <w:r w:rsidRPr="003D2BB8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</w:t>
      </w:r>
      <w:r w:rsidRPr="003D2BB8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 xml:space="preserve"> </w:t>
      </w:r>
      <w:r w:rsidRPr="003D2BB8">
        <w:rPr>
          <w:rFonts w:ascii="Times New Roman" w:eastAsia="仿宋_GB2312" w:hAnsi="Times New Roman" w:cs="Times New Roman"/>
          <w:b/>
          <w:bCs/>
          <w:color w:val="333333"/>
          <w:kern w:val="0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line="360" w:lineRule="atLeast"/>
        <w:ind w:firstLineChars="196" w:firstLine="630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5</w:t>
      </w:r>
      <w:r w:rsidRPr="003D2BB8">
        <w:rPr>
          <w:rFonts w:ascii="Times New Roman" w:eastAsia="楷体_GB2312" w:hAnsi="Times New Roman" w:cs="Times New Roman"/>
          <w:b/>
          <w:bCs/>
          <w:color w:val="333333"/>
          <w:kern w:val="0"/>
          <w:sz w:val="32"/>
          <w:szCs w:val="32"/>
        </w:rPr>
        <w:t>．</w:t>
      </w: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坚持新造高产林与改造低产林相结合。</w:t>
      </w:r>
      <w:r w:rsidRPr="003D2BB8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按照适地适树原则，在适宜新造油茶林的林地营造高产油茶林，对需要改造的现有低产油茶林进行及时改造，通过新造与改造并举，扎实推进油茶产业发展。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黑体" w:hAnsi="Times New Roman" w:cs="Times New Roman"/>
          <w:color w:val="333333"/>
          <w:sz w:val="32"/>
          <w:szCs w:val="32"/>
        </w:rPr>
        <w:lastRenderedPageBreak/>
        <w:t>三、主要目标</w:t>
      </w:r>
    </w:p>
    <w:p w:rsidR="003D2BB8" w:rsidRPr="003D2BB8" w:rsidRDefault="003D2BB8" w:rsidP="003D2BB8">
      <w:pPr>
        <w:widowControl/>
        <w:shd w:val="clear" w:color="auto" w:fill="FFFFFF"/>
        <w:spacing w:before="100" w:beforeAutospacing="1" w:after="100" w:afterAutospacing="1" w:line="360" w:lineRule="atLeast"/>
        <w:ind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力争到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2020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年，全市更新和抚育改造低产油茶林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200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万亩，使全市高产油茶林面积达到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140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万亩，年产茶油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8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万吨；建设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30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个高产油茶（含红花油茶）示范林基地，面积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10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万亩；完善良种繁育基地，建设油茶苗木基地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4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个，面积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300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亩；完成红花油茶良种选育，新建红花油茶良种采穗圃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个，面积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500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亩；建设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3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个产业科技示范园和市级高产油茶、红花油茶技术推广服务中心；打造相对完备的油茶产、供、销产业链，加大茶油及副产品精深加工，形成年产茶油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6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万吨的加工能力；提升油茶品牌效应，新增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家国家级油茶龙头企业，帮扶优质龙头企业上市；油茶产业年综合产值达到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亿元，实现油茶资源大市向油茶产业强市跨越。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黑体" w:hAnsi="Times New Roman" w:cs="Times New Roman"/>
          <w:color w:val="333333"/>
          <w:sz w:val="32"/>
          <w:szCs w:val="32"/>
        </w:rPr>
        <w:t>四、发展重点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1</w:t>
      </w:r>
      <w:r w:rsidRPr="003D2BB8">
        <w:rPr>
          <w:rFonts w:ascii="楷体_GB2312" w:eastAsia="楷体_GB2312" w:hAnsi="Times New Roman" w:cs="Times New Roman"/>
          <w:b/>
          <w:bCs/>
          <w:color w:val="333333"/>
          <w:sz w:val="32"/>
          <w:szCs w:val="32"/>
        </w:rPr>
        <w:t>．增加资源总量。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充分利用宜林荒山荒地、低产低效林、病残果园等地类，科学合理地拓展油茶产业发展空间，扩大栽植面积，增加油茶资源总量。一是继续坚持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大工程带动大发展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”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战略，依托现代农业油茶专项、名特优经济林、退耕还林、贷款造林、长防林、造林补贴、防火林带、</w:t>
      </w:r>
      <w:proofErr w:type="gramStart"/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血防林</w:t>
      </w:r>
      <w:proofErr w:type="gramEnd"/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等林业重点项目带动，在广丰区、上饶县、玉山县、铅山县、横峰县、德兴市、婺源县、弋阳县、万年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lastRenderedPageBreak/>
        <w:t>县、余干县、鄱阳县等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11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个全省重点油茶发展县（市、区）内大力实施新造林。二是依托省级低产油茶林改造项目，在广丰区、上饶县、玉山县、横峰县、铅山县、德兴市、婺源县等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7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个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10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万亩以上的油茶重点县（市、区）、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61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个油茶林面积在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万亩以上的重点乡（镇）实施低效林改造。通过新造和低改结合，使全市油茶高产林面积达到一定的规模，增加油茶资源总量。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2</w:t>
      </w:r>
      <w:r w:rsidRPr="003D2BB8">
        <w:rPr>
          <w:rFonts w:ascii="楷体_GB2312" w:eastAsia="楷体_GB2312" w:hAnsi="Times New Roman" w:cs="Times New Roman"/>
          <w:b/>
          <w:bCs/>
          <w:color w:val="333333"/>
          <w:sz w:val="32"/>
          <w:szCs w:val="32"/>
        </w:rPr>
        <w:t>．创新经营机制。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推广以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五统一分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”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（统一规划、统一整地、统一购苗、统一栽植、统一抚育，分户管理和受益）为主的油茶发展模式，实行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公司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+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基地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+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农户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”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、家庭自主经营、股份合作、油茶专业合作社等现代产业经营模式。各地要进一步落实、完善林权制度配套改革，按照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谁投资、谁经营、谁受益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”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的原则，依法及时给油茶经营者颁发林权证。对已承包并已流转的油茶林地要及时颁发经营流转证，充分调动社会各界发展油茶的积极性，破解企业、大户等规模化经营碰到的采摘难、管护难和土地流转难等问题，大力推广油茶林套种，鼓励发展林下经济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3</w:t>
      </w:r>
      <w:r w:rsidRPr="003D2BB8">
        <w:rPr>
          <w:rFonts w:ascii="楷体_GB2312" w:eastAsia="楷体_GB2312" w:hAnsi="Times New Roman" w:cs="Times New Roman"/>
          <w:b/>
          <w:bCs/>
          <w:color w:val="333333"/>
          <w:sz w:val="32"/>
          <w:szCs w:val="32"/>
        </w:rPr>
        <w:t>．加强市场监管。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严格执行《江西省林产品质量安全条例》，林业、市场和质量监督等部门要加强合作，建立质量检测体系，加强油茶产地环境监测和油茶</w:t>
      </w:r>
      <w:proofErr w:type="gramStart"/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籽</w:t>
      </w:r>
      <w:proofErr w:type="gramEnd"/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质量安全监督检查，推广森林食品基地认定，强化对茶油生产和流通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环节的监管，规范市场准入机制。打击制假、售假和以次充好等违法行为，防止不合格产品进入市场，净化茶油市场，为油茶产业发展营造良好的市场氛围。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4</w:t>
      </w:r>
      <w:r w:rsidRPr="003D2BB8">
        <w:rPr>
          <w:rFonts w:ascii="楷体_GB2312" w:eastAsia="楷体_GB2312" w:hAnsi="Times New Roman" w:cs="Times New Roman"/>
          <w:b/>
          <w:bCs/>
          <w:color w:val="333333"/>
          <w:sz w:val="32"/>
          <w:szCs w:val="32"/>
        </w:rPr>
        <w:t>．整合茶油品牌。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加大上饶山茶油品牌整合和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德兴红花油茶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”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品牌推介力度，提升茶油品牌知名度。同时油茶企业要实行有序扩张，遏制加工企业无序竞争，要不断提升产品研发和科技创新能力，大力开发适合海外市场需求的高档山茶油产品（保健品、色拉油等），整合淘汰一批品质差、品牌杂的小茶油加工企业。开展油茶主要营养成分测定和种质评审，建设油茶品质档案，培育企业核心竞争力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5</w:t>
      </w:r>
      <w:r w:rsidRPr="003D2BB8">
        <w:rPr>
          <w:rFonts w:ascii="楷体_GB2312" w:eastAsia="楷体_GB2312" w:hAnsi="Times New Roman" w:cs="Times New Roman"/>
          <w:b/>
          <w:bCs/>
          <w:color w:val="333333"/>
          <w:sz w:val="32"/>
          <w:szCs w:val="32"/>
        </w:rPr>
        <w:t>．弘扬油茶文化。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结合民间油茶采摘、油茶种植、茶油功效利用、油茶民俗文化等内容，依托现有的油茶重点企业、油茶种植大户、油茶专业合作社、油茶产业重点乡（镇）、油茶产业重点村等，打造一批标准高、管理规范、示范带动强的油茶文化产业基地和油茶科技生态观光旅游园，进一步弘扬全市油茶生态文化，提高全社会对油茶的认知度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黑体" w:hAnsi="Times New Roman" w:cs="Times New Roman"/>
          <w:color w:val="333333"/>
          <w:sz w:val="32"/>
          <w:szCs w:val="32"/>
        </w:rPr>
        <w:t>五、保障措施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lastRenderedPageBreak/>
        <w:t>1</w:t>
      </w:r>
      <w:r w:rsidRPr="003D2BB8">
        <w:rPr>
          <w:rFonts w:ascii="楷体_GB2312" w:eastAsia="楷体_GB2312" w:hAnsi="Times New Roman" w:cs="Times New Roman"/>
          <w:b/>
          <w:bCs/>
          <w:color w:val="333333"/>
          <w:sz w:val="32"/>
          <w:szCs w:val="32"/>
        </w:rPr>
        <w:t>．加强工作领导。</w:t>
      </w: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>各县（市、区）政府要加强对油茶产业发展的领导，成立油茶产业发展领导小组及其办公室，切实加强组织领导和协调。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组织林业、农业、国土、水利、扶贫、农开办、财政、</w:t>
      </w:r>
      <w:proofErr w:type="gramStart"/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发改等</w:t>
      </w:r>
      <w:proofErr w:type="gramEnd"/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部门建立联席会议制度，密切部门合作，形成工作合力，确保油茶工作顺利推进。成立油茶产业协会，有效发挥油茶协会在行业自律、产业服务规范和拓展市场方面的重要作用，加大对油茶发展政策、优良品质和健康功效等宣传力度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2</w:t>
      </w:r>
      <w:r w:rsidRPr="003D2BB8">
        <w:rPr>
          <w:rFonts w:ascii="楷体_GB2312" w:eastAsia="楷体_GB2312" w:hAnsi="Times New Roman" w:cs="Times New Roman"/>
          <w:b/>
          <w:bCs/>
          <w:color w:val="333333"/>
          <w:sz w:val="32"/>
          <w:szCs w:val="32"/>
        </w:rPr>
        <w:t>．加大政策扶持。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要按照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统筹规划、相对集中、用途不变、渠道不乱、各负其责、各记其功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”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的原则，加大对油茶产业发展的扶持力度。一是要积极争取林业重点工程项目、国家和省级油茶发展专项资金。二是要以县为单位整合产业扶贫、土地整理、水土保持、农业综合开发等有关项目资金。三是要在政府农业发展基金中，拿出一定比例资金对造林质量高、有一定规模、有示范带动作用的基地和油茶重点企业、油茶种植大户、油茶专业合作社等实施以奖代补。四是要充分发挥好金融信贷作用，如农行的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惠融通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”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、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“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金穗油茶贷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”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等。财政部门对符合条件的油茶贷款项目要实行贴息补助，解决发展油茶产业投入不足的问题。五是要加大油茶加工企业扶持力度。油茶加工企业可依法享受企业所得税减免等优惠政策。六是要大力支持油茶基地内修建采摘林道、灌溉系统、</w:t>
      </w:r>
      <w:proofErr w:type="gramStart"/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管护房</w:t>
      </w:r>
      <w:proofErr w:type="gramEnd"/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t>等配套基础设</w:t>
      </w:r>
      <w:r w:rsidRPr="003D2BB8">
        <w:rPr>
          <w:rFonts w:ascii="仿宋_GB2312" w:eastAsia="仿宋_GB2312" w:hAnsi="Times New Roman" w:cs="Times New Roman"/>
          <w:color w:val="333333"/>
          <w:sz w:val="32"/>
          <w:szCs w:val="32"/>
        </w:rPr>
        <w:lastRenderedPageBreak/>
        <w:t>施建设，将符合条件的油茶生产机械纳入农机补贴范围。通过财政投入、部门整合、项目倾斜、吸引外资、企业投资、银行贷款、主体自筹等多元化投资形式发展油茶产业。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 xml:space="preserve"> 3</w:t>
      </w:r>
      <w:r w:rsidRPr="003D2BB8">
        <w:rPr>
          <w:rFonts w:ascii="楷体_GB2312" w:eastAsia="楷体_GB2312" w:hAnsi="Times New Roman" w:cs="Times New Roman"/>
          <w:b/>
          <w:bCs/>
          <w:color w:val="333333"/>
          <w:sz w:val="32"/>
          <w:szCs w:val="32"/>
        </w:rPr>
        <w:t>．强化科技支撑。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以提高油茶单产和质量为核心，抓好油茶科技推广示范工作，将油茶育苗、造林、抚育、嫁接、森林防火、病虫害防治等实用技术普及广大农村和农户，培育和扶持油茶科技示范户。鼓励科研单位和油茶科技特派员开展技术承包、技术咨询和下乡服务。加快红花油茶采穗圃建设，加强高产油茶种苗质量管理，搞好良种良法推广。油茶项目造林原则上使用省级油茶定点育苗单位生产的嫁接苗，提高油茶园艺化栽培和标准化建设的管理水平，推行现代营林技术，保护生物多样性，防止水土流失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楷体_GB2312" w:hAnsi="Times New Roman" w:cs="Times New Roman"/>
          <w:b/>
          <w:bCs/>
          <w:color w:val="333333"/>
          <w:sz w:val="32"/>
          <w:szCs w:val="32"/>
        </w:rPr>
        <w:t>4</w:t>
      </w:r>
      <w:r w:rsidRPr="003D2BB8">
        <w:rPr>
          <w:rFonts w:ascii="楷体_GB2312" w:eastAsia="楷体_GB2312" w:hAnsi="Times New Roman" w:cs="Times New Roman"/>
          <w:b/>
          <w:bCs/>
          <w:color w:val="333333"/>
          <w:sz w:val="32"/>
          <w:szCs w:val="32"/>
        </w:rPr>
        <w:t>．严格考核评价。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建立油茶产业发展绩效考核评价体系和激励机制，将油茶产业纳入当地政府工作重点议事日程，制定出台《油茶产业发展规划》和《油茶产业发展奖惩管理办法》等相关配套措施。建立健全调度、通报、考核制度，定期或不定期对油茶产业工作进行专项督导检查，就项目实施进度、建设质量、建设成效等内容进行跟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踪监测和综合评价考核，全面推进油茶产业健康快速发展。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wordWrap w:val="0"/>
        <w:spacing w:before="100" w:beforeAutospacing="1" w:after="100" w:afterAutospacing="1" w:line="360" w:lineRule="atLeast"/>
        <w:ind w:rightChars="325" w:right="683"/>
        <w:jc w:val="righ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上饶市人民政府</w:t>
      </w: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>办公厅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rightChars="400" w:right="840"/>
        <w:jc w:val="righ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201</w:t>
      </w: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>5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年</w:t>
      </w: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>10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月</w:t>
      </w: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>27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日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ind w:firstLineChars="200"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（此件</w:t>
      </w: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>主动</w:t>
      </w: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>公开）</w:t>
      </w:r>
      <w:bookmarkStart w:id="0" w:name="_GoBack"/>
      <w:bookmarkEnd w:id="0"/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仿宋_GB2312" w:eastAsia="仿宋_GB2312" w:hAnsi="Verdana" w:cs="宋体" w:hint="eastAsia"/>
          <w:color w:val="333333"/>
          <w:sz w:val="32"/>
          <w:szCs w:val="32"/>
        </w:rPr>
        <w:t xml:space="preserve"> </w:t>
      </w:r>
    </w:p>
    <w:p w:rsidR="003D2BB8" w:rsidRPr="003D2BB8" w:rsidRDefault="003D2BB8" w:rsidP="003D2BB8">
      <w:pPr>
        <w:widowControl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3D2BB8"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 </w:t>
      </w:r>
    </w:p>
    <w:p w:rsidR="00594A9B" w:rsidRPr="003D2BB8" w:rsidRDefault="003D2BB8" w:rsidP="003D2BB8">
      <w:r w:rsidRPr="003D2BB8">
        <w:rPr>
          <w:rFonts w:ascii="Verdana" w:eastAsia="宋体" w:hAnsi="Verdana" w:cs="宋体"/>
          <w:noProof/>
          <w:color w:val="333333"/>
          <w:kern w:val="0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19750" cy="723900"/>
            <wp:effectExtent l="0" t="0" r="0" b="0"/>
            <wp:wrapSquare wrapText="bothSides"/>
            <wp:docPr id="1" name="图片 1" descr="http://www.zgsr.gov.cn/uploadfiles/201511/04/20151104000000046477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gsr.gov.cn/uploadfiles/201511/04/201511040000000464770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4A9B" w:rsidRPr="003D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1E"/>
    <w:rsid w:val="003D2BB8"/>
    <w:rsid w:val="00594A9B"/>
    <w:rsid w:val="00730A1E"/>
    <w:rsid w:val="0076082E"/>
    <w:rsid w:val="009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1D36"/>
  <w15:chartTrackingRefBased/>
  <w15:docId w15:val="{E4E85C90-9184-4F43-96D2-72AEE626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0A1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A1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30A1E"/>
  </w:style>
  <w:style w:type="paragraph" w:styleId="a3">
    <w:name w:val="Normal (Web)"/>
    <w:basedOn w:val="a"/>
    <w:uiPriority w:val="99"/>
    <w:semiHidden/>
    <w:unhideWhenUsed/>
    <w:rsid w:val="00730A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3D2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个人用户</cp:lastModifiedBy>
  <cp:revision>3</cp:revision>
  <dcterms:created xsi:type="dcterms:W3CDTF">2018-05-14T07:54:00Z</dcterms:created>
  <dcterms:modified xsi:type="dcterms:W3CDTF">2018-08-30T08:14:00Z</dcterms:modified>
</cp:coreProperties>
</file>