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16" w:rsidRPr="00136B16" w:rsidRDefault="00136B16" w:rsidP="00136B16">
      <w:pPr>
        <w:widowControl/>
        <w:shd w:val="clear" w:color="auto" w:fill="FFFFFF"/>
        <w:spacing w:line="525" w:lineRule="atLeast"/>
        <w:jc w:val="center"/>
        <w:rPr>
          <w:rFonts w:ascii="宋体" w:eastAsia="宋体" w:hAnsi="宋体" w:cs="宋体"/>
          <w:b/>
          <w:bCs/>
          <w:color w:val="F86F2B"/>
          <w:kern w:val="0"/>
          <w:sz w:val="30"/>
          <w:szCs w:val="30"/>
        </w:rPr>
      </w:pPr>
      <w:r w:rsidRPr="00136B16">
        <w:rPr>
          <w:rFonts w:ascii="宋体" w:eastAsia="宋体" w:hAnsi="宋体" w:cs="宋体"/>
          <w:b/>
          <w:bCs/>
          <w:color w:val="F86F2B"/>
          <w:kern w:val="0"/>
          <w:sz w:val="30"/>
          <w:szCs w:val="30"/>
        </w:rPr>
        <w:t>河源市人民政府办公室关于印发河源市金融机构支持经济发展奖励办法的通知</w:t>
      </w:r>
    </w:p>
    <w:tbl>
      <w:tblPr>
        <w:tblW w:w="5000" w:type="pct"/>
        <w:jc w:val="center"/>
        <w:tblCellSpacing w:w="0" w:type="dxa"/>
        <w:tblCellMar>
          <w:left w:w="0" w:type="dxa"/>
          <w:right w:w="0" w:type="dxa"/>
        </w:tblCellMar>
        <w:tblLook w:val="04A0" w:firstRow="1" w:lastRow="0" w:firstColumn="1" w:lastColumn="0" w:noHBand="0" w:noVBand="1"/>
      </w:tblPr>
      <w:tblGrid>
        <w:gridCol w:w="310"/>
        <w:gridCol w:w="2691"/>
        <w:gridCol w:w="2525"/>
        <w:gridCol w:w="2570"/>
        <w:gridCol w:w="210"/>
      </w:tblGrid>
      <w:tr w:rsidR="00136B16" w:rsidRPr="00136B16" w:rsidTr="00136B16">
        <w:trPr>
          <w:tblCellSpacing w:w="0" w:type="dxa"/>
          <w:jc w:val="center"/>
        </w:trPr>
        <w:tc>
          <w:tcPr>
            <w:tcW w:w="600" w:type="dxa"/>
            <w:vAlign w:val="center"/>
            <w:hideMark/>
          </w:tcPr>
          <w:p w:rsidR="00136B16" w:rsidRPr="00136B16" w:rsidRDefault="00136B16" w:rsidP="00136B16">
            <w:pPr>
              <w:widowControl/>
              <w:shd w:val="clear" w:color="auto" w:fill="FFFFFF"/>
              <w:spacing w:line="525" w:lineRule="atLeast"/>
              <w:jc w:val="center"/>
              <w:rPr>
                <w:rFonts w:ascii="宋体" w:eastAsia="宋体" w:hAnsi="宋体" w:cs="宋体"/>
                <w:b/>
                <w:bCs/>
                <w:color w:val="F86F2B"/>
                <w:kern w:val="0"/>
                <w:sz w:val="30"/>
                <w:szCs w:val="30"/>
              </w:rPr>
            </w:pPr>
          </w:p>
        </w:tc>
        <w:tc>
          <w:tcPr>
            <w:tcW w:w="4695" w:type="dxa"/>
            <w:vAlign w:val="center"/>
            <w:hideMark/>
          </w:tcPr>
          <w:p w:rsidR="00136B16" w:rsidRPr="00136B16" w:rsidRDefault="00136B16" w:rsidP="00136B16">
            <w:pPr>
              <w:widowControl/>
              <w:jc w:val="center"/>
              <w:rPr>
                <w:rFonts w:ascii="宋体" w:eastAsia="宋体" w:hAnsi="宋体" w:cs="宋体"/>
                <w:kern w:val="0"/>
                <w:sz w:val="24"/>
                <w:szCs w:val="24"/>
              </w:rPr>
            </w:pPr>
            <w:r w:rsidRPr="00136B16">
              <w:rPr>
                <w:rFonts w:ascii="宋体" w:eastAsia="宋体" w:hAnsi="宋体" w:cs="宋体"/>
                <w:kern w:val="0"/>
                <w:sz w:val="24"/>
                <w:szCs w:val="24"/>
              </w:rPr>
              <w:t>发布日期：2017-04-05</w:t>
            </w:r>
          </w:p>
        </w:tc>
        <w:tc>
          <w:tcPr>
            <w:tcW w:w="3450" w:type="dxa"/>
            <w:vAlign w:val="center"/>
            <w:hideMark/>
          </w:tcPr>
          <w:p w:rsidR="00136B16" w:rsidRPr="00136B16" w:rsidRDefault="00136B16" w:rsidP="00136B16">
            <w:pPr>
              <w:widowControl/>
              <w:jc w:val="center"/>
              <w:rPr>
                <w:rFonts w:ascii="宋体" w:eastAsia="宋体" w:hAnsi="宋体" w:cs="宋体"/>
                <w:kern w:val="0"/>
                <w:sz w:val="24"/>
                <w:szCs w:val="24"/>
              </w:rPr>
            </w:pPr>
            <w:r w:rsidRPr="00136B16">
              <w:rPr>
                <w:rFonts w:ascii="宋体" w:eastAsia="宋体" w:hAnsi="宋体" w:cs="宋体"/>
                <w:kern w:val="0"/>
                <w:sz w:val="24"/>
                <w:szCs w:val="24"/>
              </w:rPr>
              <w:t xml:space="preserve">浏览次数： </w:t>
            </w:r>
            <w:r w:rsidRPr="00136B16">
              <w:rPr>
                <w:rFonts w:ascii="宋体" w:eastAsia="宋体" w:hAnsi="宋体" w:cs="宋体"/>
                <w:kern w:val="0"/>
                <w:sz w:val="24"/>
                <w:szCs w:val="24"/>
              </w:rPr>
              <w:pict/>
            </w:r>
            <w:r w:rsidRPr="00136B16">
              <w:rPr>
                <w:rFonts w:ascii="宋体" w:eastAsia="宋体" w:hAnsi="宋体" w:cs="宋体"/>
                <w:kern w:val="0"/>
                <w:sz w:val="24"/>
                <w:szCs w:val="24"/>
              </w:rPr>
              <w:t>202     </w:t>
            </w:r>
          </w:p>
        </w:tc>
        <w:tc>
          <w:tcPr>
            <w:tcW w:w="4650" w:type="dxa"/>
            <w:vAlign w:val="center"/>
            <w:hideMark/>
          </w:tcPr>
          <w:p w:rsidR="00136B16" w:rsidRPr="00136B16" w:rsidRDefault="00136B16" w:rsidP="00136B16">
            <w:pPr>
              <w:widowControl/>
              <w:jc w:val="left"/>
              <w:rPr>
                <w:rFonts w:ascii="宋体" w:eastAsia="宋体" w:hAnsi="宋体" w:cs="宋体"/>
                <w:color w:val="333333"/>
                <w:kern w:val="0"/>
                <w:sz w:val="20"/>
                <w:szCs w:val="20"/>
              </w:rPr>
            </w:pPr>
            <w:r w:rsidRPr="00136B16">
              <w:rPr>
                <w:rFonts w:ascii="宋体" w:eastAsia="宋体" w:hAnsi="宋体" w:cs="宋体"/>
                <w:color w:val="333333"/>
                <w:kern w:val="0"/>
                <w:sz w:val="20"/>
                <w:szCs w:val="20"/>
              </w:rPr>
              <w:t>保护视力色：</w:t>
            </w:r>
          </w:p>
        </w:tc>
        <w:tc>
          <w:tcPr>
            <w:tcW w:w="405" w:type="dxa"/>
            <w:vAlign w:val="center"/>
            <w:hideMark/>
          </w:tcPr>
          <w:p w:rsidR="00136B16" w:rsidRPr="00136B16" w:rsidRDefault="00136B16" w:rsidP="00136B16">
            <w:pPr>
              <w:widowControl/>
              <w:jc w:val="left"/>
              <w:rPr>
                <w:rFonts w:ascii="宋体" w:eastAsia="宋体" w:hAnsi="宋体" w:cs="宋体"/>
                <w:color w:val="333333"/>
                <w:kern w:val="0"/>
                <w:sz w:val="20"/>
                <w:szCs w:val="20"/>
              </w:rPr>
            </w:pPr>
          </w:p>
        </w:tc>
      </w:tr>
    </w:tbl>
    <w:p w:rsidR="00136B16" w:rsidRPr="00136B16" w:rsidRDefault="00136B16" w:rsidP="00136B16">
      <w:pPr>
        <w:widowControl/>
        <w:shd w:val="clear" w:color="auto" w:fill="FFFFFF"/>
        <w:spacing w:beforeAutospacing="1" w:after="100" w:afterAutospacing="1" w:line="450" w:lineRule="atLeast"/>
        <w:jc w:val="left"/>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仿宋" w:eastAsia="仿宋" w:hAnsi="仿宋" w:cs="宋体" w:hint="eastAsia"/>
          <w:b/>
          <w:bCs/>
          <w:kern w:val="0"/>
          <w:sz w:val="32"/>
          <w:szCs w:val="32"/>
        </w:rPr>
        <w:t>河府办〔2017〕22号</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rPr>
          <w:rFonts w:ascii="宋体" w:eastAsia="宋体" w:hAnsi="宋体" w:cs="宋体"/>
          <w:kern w:val="0"/>
          <w:szCs w:val="21"/>
        </w:rPr>
      </w:pPr>
      <w:r w:rsidRPr="00136B16">
        <w:rPr>
          <w:rFonts w:ascii="仿宋" w:eastAsia="仿宋" w:hAnsi="仿宋" w:cs="宋体" w:hint="eastAsia"/>
          <w:kern w:val="0"/>
          <w:sz w:val="32"/>
          <w:szCs w:val="32"/>
        </w:rPr>
        <w:t xml:space="preserve">各县（区）人民政府（管委会），市府直属各单位： </w:t>
      </w:r>
      <w:r w:rsidRPr="00136B16">
        <w:rPr>
          <w:rFonts w:ascii="仿宋" w:eastAsia="仿宋" w:hAnsi="仿宋" w:cs="宋体" w:hint="eastAsia"/>
          <w:kern w:val="0"/>
          <w:sz w:val="32"/>
          <w:szCs w:val="32"/>
        </w:rPr>
        <w:br/>
        <w:t xml:space="preserve">　　经市人民政府同意，现将《河源市金融机构支持经济发展奖励办法》印发给你们，请遵照执行。执行中遇到的问题，请径向市金融局反映。</w:t>
      </w:r>
    </w:p>
    <w:p w:rsidR="00136B16" w:rsidRPr="00136B16" w:rsidRDefault="00136B16" w:rsidP="00136B16">
      <w:pPr>
        <w:widowControl/>
        <w:shd w:val="clear" w:color="auto" w:fill="FFFFFF"/>
        <w:spacing w:before="100" w:beforeAutospacing="1" w:after="100" w:afterAutospacing="1" w:line="450" w:lineRule="atLeast"/>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136B16">
        <w:rPr>
          <w:rFonts w:ascii="仿宋" w:eastAsia="仿宋" w:hAnsi="仿宋" w:cs="宋体" w:hint="eastAsia"/>
          <w:kern w:val="0"/>
          <w:sz w:val="32"/>
          <w:szCs w:val="32"/>
        </w:rPr>
        <w:t xml:space="preserve">河源市人民政府办公室 </w:t>
      </w:r>
      <w:r w:rsidRPr="00136B16">
        <w:rPr>
          <w:rFonts w:ascii="仿宋" w:eastAsia="仿宋" w:hAnsi="仿宋" w:cs="宋体" w:hint="eastAsia"/>
          <w:kern w:val="0"/>
          <w:sz w:val="32"/>
          <w:szCs w:val="32"/>
        </w:rPr>
        <w:br/>
        <w:t>2017年4月5日</w:t>
      </w:r>
    </w:p>
    <w:p w:rsidR="00136B16" w:rsidRPr="00136B16" w:rsidRDefault="00136B16" w:rsidP="00136B16">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right"/>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仿宋" w:eastAsia="仿宋" w:hAnsi="仿宋" w:cs="宋体" w:hint="eastAsia"/>
          <w:b/>
          <w:bCs/>
          <w:kern w:val="0"/>
          <w:sz w:val="32"/>
          <w:szCs w:val="32"/>
        </w:rPr>
        <w:t>河源市金融机构支持经济发展奖励办法</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宋体" w:eastAsia="宋体" w:hAnsi="宋体" w:cs="宋体"/>
          <w:kern w:val="0"/>
          <w:szCs w:val="21"/>
        </w:rPr>
        <w:t> </w:t>
      </w:r>
    </w:p>
    <w:p w:rsidR="00136B16" w:rsidRPr="00136B16" w:rsidRDefault="00136B16" w:rsidP="00136B16">
      <w:pPr>
        <w:widowControl/>
        <w:shd w:val="clear" w:color="auto" w:fill="FFFFFF"/>
        <w:spacing w:before="100" w:beforeAutospacing="1" w:after="100" w:afterAutospacing="1" w:line="450" w:lineRule="atLeast"/>
        <w:jc w:val="center"/>
        <w:rPr>
          <w:rFonts w:ascii="宋体" w:eastAsia="宋体" w:hAnsi="宋体" w:cs="宋体"/>
          <w:kern w:val="0"/>
          <w:szCs w:val="21"/>
        </w:rPr>
      </w:pPr>
      <w:r w:rsidRPr="00136B16">
        <w:rPr>
          <w:rFonts w:ascii="宋体" w:eastAsia="宋体" w:hAnsi="宋体" w:cs="宋体"/>
          <w:kern w:val="0"/>
          <w:szCs w:val="21"/>
        </w:rPr>
        <w:lastRenderedPageBreak/>
        <w:t> </w:t>
      </w:r>
    </w:p>
    <w:p w:rsidR="00136B16" w:rsidRPr="00136B16" w:rsidRDefault="00136B16" w:rsidP="00136B16">
      <w:pPr>
        <w:widowControl/>
        <w:shd w:val="clear" w:color="auto" w:fill="FFFFFF"/>
        <w:spacing w:before="100" w:beforeAutospacing="1" w:afterAutospacing="1" w:line="450" w:lineRule="atLeast"/>
        <w:rPr>
          <w:rFonts w:ascii="宋体" w:eastAsia="宋体" w:hAnsi="宋体" w:cs="宋体"/>
          <w:kern w:val="0"/>
          <w:szCs w:val="21"/>
        </w:rPr>
      </w:pPr>
      <w:r w:rsidRPr="00136B16">
        <w:rPr>
          <w:rFonts w:ascii="仿宋" w:eastAsia="仿宋" w:hAnsi="仿宋" w:cs="宋体" w:hint="eastAsia"/>
          <w:kern w:val="0"/>
          <w:sz w:val="32"/>
          <w:szCs w:val="32"/>
        </w:rPr>
        <w:t xml:space="preserve">　　第一条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为鼓励我市金融机构创新金融服务，支持地方经济社会加快发展，贯彻落实国家有关进一步改善对中小企业金融服务的政策措施，制订本办法。 </w:t>
      </w:r>
      <w:r w:rsidRPr="00136B16">
        <w:rPr>
          <w:rFonts w:ascii="仿宋" w:eastAsia="仿宋" w:hAnsi="仿宋" w:cs="宋体" w:hint="eastAsia"/>
          <w:kern w:val="0"/>
          <w:sz w:val="32"/>
          <w:szCs w:val="32"/>
        </w:rPr>
        <w:br/>
        <w:t xml:space="preserve">　　第二条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本办法所称金融机构包括中国工商银行股份有限公司河源分行、中国农业银行股份有限公司河源分行、中国银行股份有限公司河源分行、中国建设银行股份有限公司河源市分行、中国邮政储蓄银行河源市分行、广发银行股份有限公司河源分行、广东省农村信用社联合社河源办事处（含农商行和农信社）、广州农村商业银行股份有限公司河源分行及市级银行业金融机构（新设立）、小额贷款公司、融资性担保公司。 </w:t>
      </w:r>
      <w:r w:rsidRPr="00136B16">
        <w:rPr>
          <w:rFonts w:ascii="仿宋" w:eastAsia="仿宋" w:hAnsi="仿宋" w:cs="宋体" w:hint="eastAsia"/>
          <w:kern w:val="0"/>
          <w:sz w:val="32"/>
          <w:szCs w:val="32"/>
        </w:rPr>
        <w:br/>
        <w:t xml:space="preserve">　　第三条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金融贡献奖。 </w:t>
      </w:r>
      <w:r w:rsidRPr="00136B16">
        <w:rPr>
          <w:rFonts w:ascii="仿宋" w:eastAsia="仿宋" w:hAnsi="仿宋" w:cs="宋体" w:hint="eastAsia"/>
          <w:kern w:val="0"/>
          <w:sz w:val="32"/>
          <w:szCs w:val="32"/>
        </w:rPr>
        <w:br/>
        <w:t xml:space="preserve">　　（一）金融机构对全市贷款12月末余额比上年同期增长10%以上，并同时满足下列3个条件的，按12月末实际新增贷款余额（比上年同期，下同）的0.5‰给予奖励。 </w:t>
      </w:r>
      <w:r w:rsidRPr="00136B16">
        <w:rPr>
          <w:rFonts w:ascii="仿宋" w:eastAsia="仿宋" w:hAnsi="仿宋" w:cs="宋体" w:hint="eastAsia"/>
          <w:kern w:val="0"/>
          <w:sz w:val="32"/>
          <w:szCs w:val="32"/>
        </w:rPr>
        <w:br/>
        <w:t xml:space="preserve">　　1.全年新增各项贷款占新增各项存款70%以上； </w:t>
      </w:r>
      <w:r w:rsidRPr="00136B16">
        <w:rPr>
          <w:rFonts w:ascii="仿宋" w:eastAsia="仿宋" w:hAnsi="仿宋" w:cs="宋体" w:hint="eastAsia"/>
          <w:kern w:val="0"/>
          <w:sz w:val="32"/>
          <w:szCs w:val="32"/>
        </w:rPr>
        <w:br/>
        <w:t xml:space="preserve">　　2.全年新增中小微企业贷款占比达60%以上； </w:t>
      </w:r>
      <w:r w:rsidRPr="00136B16">
        <w:rPr>
          <w:rFonts w:ascii="仿宋" w:eastAsia="仿宋" w:hAnsi="仿宋" w:cs="宋体" w:hint="eastAsia"/>
          <w:kern w:val="0"/>
          <w:sz w:val="32"/>
          <w:szCs w:val="32"/>
        </w:rPr>
        <w:br/>
        <w:t xml:space="preserve">　　3.所发放的贷款（票据贴现、一般性贷款）各期限加权平均利率均低于中国人民银行河源市中心支行公布的《河源市市场利率月水平表》中对应的贷款加权平均利率。 </w:t>
      </w:r>
      <w:r w:rsidRPr="00136B16">
        <w:rPr>
          <w:rFonts w:ascii="仿宋" w:eastAsia="仿宋" w:hAnsi="仿宋" w:cs="宋体" w:hint="eastAsia"/>
          <w:kern w:val="0"/>
          <w:sz w:val="32"/>
          <w:szCs w:val="32"/>
        </w:rPr>
        <w:br/>
        <w:t xml:space="preserve">　　（二）金融机构对全市机关事业单位及企业核销呆账贷</w:t>
      </w:r>
      <w:r w:rsidRPr="00136B16">
        <w:rPr>
          <w:rFonts w:ascii="仿宋" w:eastAsia="仿宋" w:hAnsi="仿宋" w:cs="宋体" w:hint="eastAsia"/>
          <w:kern w:val="0"/>
          <w:sz w:val="32"/>
          <w:szCs w:val="32"/>
        </w:rPr>
        <w:lastRenderedPageBreak/>
        <w:t xml:space="preserve">款，按上年12月和本年1—12月实际核销额的1‰给予奖励。 </w:t>
      </w:r>
      <w:r w:rsidRPr="00136B16">
        <w:rPr>
          <w:rFonts w:ascii="仿宋" w:eastAsia="仿宋" w:hAnsi="仿宋" w:cs="宋体" w:hint="eastAsia"/>
          <w:kern w:val="0"/>
          <w:sz w:val="32"/>
          <w:szCs w:val="32"/>
        </w:rPr>
        <w:br/>
        <w:t xml:space="preserve">　　（三）融资性担保公司对全市担保贷款12月末余额比上年同期增长10%以上的，按实际新增贷款余额的1‰给予奖励。 </w:t>
      </w:r>
      <w:r w:rsidRPr="00136B16">
        <w:rPr>
          <w:rFonts w:ascii="仿宋" w:eastAsia="仿宋" w:hAnsi="仿宋" w:cs="宋体" w:hint="eastAsia"/>
          <w:kern w:val="0"/>
          <w:sz w:val="32"/>
          <w:szCs w:val="32"/>
        </w:rPr>
        <w:br/>
        <w:t xml:space="preserve">　　（四）小额贷款公司对全市涉农贷款、中小微企业贷款12月末余额比上年同期增长10%以上的，按年末实际新增贷款余额的5‰给予奖励。 </w:t>
      </w:r>
      <w:r w:rsidRPr="00136B16">
        <w:rPr>
          <w:rFonts w:ascii="仿宋" w:eastAsia="仿宋" w:hAnsi="仿宋" w:cs="宋体" w:hint="eastAsia"/>
          <w:kern w:val="0"/>
          <w:sz w:val="32"/>
          <w:szCs w:val="32"/>
        </w:rPr>
        <w:br/>
        <w:t xml:space="preserve">　　第四条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特别贡献奖：金融机构对市政府确定的年度重点项目建设提供融资支持，为我市经济发展做出特别贡献的，按项目给予一次性奖励。本奖项依据重点项目建设情况设定，奖金总额为300万元/年，具体奖励办法由市金融局会同市财政局另行制定。 </w:t>
      </w:r>
      <w:r w:rsidRPr="00136B16">
        <w:rPr>
          <w:rFonts w:ascii="仿宋" w:eastAsia="仿宋" w:hAnsi="仿宋" w:cs="宋体" w:hint="eastAsia"/>
          <w:kern w:val="0"/>
          <w:sz w:val="32"/>
          <w:szCs w:val="32"/>
        </w:rPr>
        <w:br/>
        <w:t xml:space="preserve">　　第五条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鼓励奖：为鼓励中国人民银行河源市中心支行、中国银行业监督管理委员会河源监管分局支持商业性金融机构创新金融服务，支持地方经济发展，视情况在年终给予奖励。 </w:t>
      </w:r>
      <w:r w:rsidRPr="00136B16">
        <w:rPr>
          <w:rFonts w:ascii="仿宋" w:eastAsia="仿宋" w:hAnsi="仿宋" w:cs="宋体" w:hint="eastAsia"/>
          <w:kern w:val="0"/>
          <w:sz w:val="32"/>
          <w:szCs w:val="32"/>
        </w:rPr>
        <w:br/>
        <w:t xml:space="preserve">　　第六条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引进设立银行业金融机构奖：为支持和鼓励更多金融机构落户河源，市政府对依法新设立的银行业金融机构（以正式批复挂牌营业为准）给予奖励。 </w:t>
      </w:r>
      <w:r w:rsidRPr="00136B16">
        <w:rPr>
          <w:rFonts w:ascii="仿宋" w:eastAsia="仿宋" w:hAnsi="仿宋" w:cs="宋体" w:hint="eastAsia"/>
          <w:kern w:val="0"/>
          <w:sz w:val="32"/>
          <w:szCs w:val="32"/>
        </w:rPr>
        <w:br/>
        <w:t xml:space="preserve">　　（一）银行业金融机构在河源设立总部或地区总部机构的，一次性奖励200万元。 </w:t>
      </w:r>
      <w:r w:rsidRPr="00136B16">
        <w:rPr>
          <w:rFonts w:ascii="仿宋" w:eastAsia="仿宋" w:hAnsi="仿宋" w:cs="宋体" w:hint="eastAsia"/>
          <w:kern w:val="0"/>
          <w:sz w:val="32"/>
          <w:szCs w:val="32"/>
        </w:rPr>
        <w:br/>
      </w:r>
      <w:r w:rsidRPr="00136B16">
        <w:rPr>
          <w:rFonts w:ascii="仿宋" w:eastAsia="仿宋" w:hAnsi="仿宋" w:cs="宋体" w:hint="eastAsia"/>
          <w:kern w:val="0"/>
          <w:sz w:val="32"/>
          <w:szCs w:val="32"/>
        </w:rPr>
        <w:lastRenderedPageBreak/>
        <w:t xml:space="preserve">　　（二）在河源新设立银行业金融机构分行的，一次性奖励100万元。 </w:t>
      </w:r>
      <w:r w:rsidRPr="00136B16">
        <w:rPr>
          <w:rFonts w:ascii="仿宋" w:eastAsia="仿宋" w:hAnsi="仿宋" w:cs="宋体" w:hint="eastAsia"/>
          <w:kern w:val="0"/>
          <w:sz w:val="32"/>
          <w:szCs w:val="32"/>
        </w:rPr>
        <w:br/>
        <w:t xml:space="preserve">　　（三）在河源首次新设立银行业金融机构支行的（不含已在河源设立分行的银行业金融机构所新设的支行），一次性奖励50万元。 </w:t>
      </w:r>
      <w:r w:rsidRPr="00136B16">
        <w:rPr>
          <w:rFonts w:ascii="仿宋" w:eastAsia="仿宋" w:hAnsi="仿宋" w:cs="宋体" w:hint="eastAsia"/>
          <w:kern w:val="0"/>
          <w:sz w:val="32"/>
          <w:szCs w:val="32"/>
        </w:rPr>
        <w:br/>
        <w:t xml:space="preserve">　　（四）在河源设立银行业金融机构支行，后升格为分行的，一次性奖励50万元。 </w:t>
      </w:r>
      <w:r w:rsidRPr="00136B16">
        <w:rPr>
          <w:rFonts w:ascii="仿宋" w:eastAsia="仿宋" w:hAnsi="仿宋" w:cs="宋体" w:hint="eastAsia"/>
          <w:kern w:val="0"/>
          <w:sz w:val="32"/>
          <w:szCs w:val="32"/>
        </w:rPr>
        <w:br/>
        <w:t xml:space="preserve">　　第七条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奖励资金由市财政负担。获奖金融机构的奖励资金分配比例由各金融机构自行安排。 </w:t>
      </w:r>
      <w:r w:rsidRPr="00136B16">
        <w:rPr>
          <w:rFonts w:ascii="仿宋" w:eastAsia="仿宋" w:hAnsi="仿宋" w:cs="宋体" w:hint="eastAsia"/>
          <w:kern w:val="0"/>
          <w:sz w:val="32"/>
          <w:szCs w:val="32"/>
        </w:rPr>
        <w:br/>
        <w:t xml:space="preserve">　　第八条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奖励资金由各金融机构（含新设立金融机构）申报。银行业金融机构申报数据由中国人民银行河源市中心支行、中国银行业监督管理委员会河源监管分局负责核实，小额贷款公司、融资性担保公司申报数据由市金融局负责核实。银行业金融机构、小额贷款公司、融资性担保公司申报数据经上述单位核实无误后，由市评审组（由市金融局、市财政局、中国人民银行河源市中心支行、中国银行业监督管理委员会河源监管分局组成）联合签署评审意见后报市政府审定。 </w:t>
      </w:r>
      <w:r w:rsidRPr="00136B16">
        <w:rPr>
          <w:rFonts w:ascii="仿宋" w:eastAsia="仿宋" w:hAnsi="仿宋" w:cs="宋体" w:hint="eastAsia"/>
          <w:kern w:val="0"/>
          <w:sz w:val="32"/>
          <w:szCs w:val="32"/>
        </w:rPr>
        <w:br/>
        <w:t xml:space="preserve">　　第九条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金融机构支持经济发展奖励为一年一次。各金融机构于次年2月15日前申报，市金融局、中国人民银行河源市中心支行、中国银行业监督管理委员会河源监管分局于2月28日前完成数据核对，市评审组于3月20前完成评</w:t>
      </w:r>
      <w:r w:rsidRPr="00136B16">
        <w:rPr>
          <w:rFonts w:ascii="仿宋" w:eastAsia="仿宋" w:hAnsi="仿宋" w:cs="宋体" w:hint="eastAsia"/>
          <w:kern w:val="0"/>
          <w:sz w:val="32"/>
          <w:szCs w:val="32"/>
        </w:rPr>
        <w:lastRenderedPageBreak/>
        <w:t xml:space="preserve">审工作报市政府审定。各银行业金融机构要及时将上级部门下达的贷款规模报市金融局备案；超过15天不报的，视为主动放弃此类条件的评比。 </w:t>
      </w:r>
      <w:r w:rsidRPr="00136B16">
        <w:rPr>
          <w:rFonts w:ascii="仿宋" w:eastAsia="仿宋" w:hAnsi="仿宋" w:cs="宋体" w:hint="eastAsia"/>
          <w:kern w:val="0"/>
          <w:sz w:val="32"/>
          <w:szCs w:val="32"/>
        </w:rPr>
        <w:br/>
        <w:t xml:space="preserve">　　第十条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各金融机构如出现发放贷款后强制要求企业将贷款转为存款或采取伪造虚报数据等手段骗取奖励资金行为的，经查实后，取消该机构当年获得奖励的资格，对已拨付的奖励资金予以全额收回，并追究有关单位和个人的责任。 </w:t>
      </w:r>
      <w:r w:rsidRPr="00136B16">
        <w:rPr>
          <w:rFonts w:ascii="仿宋" w:eastAsia="仿宋" w:hAnsi="仿宋" w:cs="宋体" w:hint="eastAsia"/>
          <w:kern w:val="0"/>
          <w:sz w:val="32"/>
          <w:szCs w:val="32"/>
        </w:rPr>
        <w:br/>
        <w:t xml:space="preserve">　　第十一条</w:t>
      </w:r>
      <w:r w:rsidRPr="00136B16">
        <w:rPr>
          <w:rFonts w:ascii="Calibri" w:eastAsia="仿宋" w:hAnsi="Calibri" w:cs="Calibri"/>
          <w:kern w:val="0"/>
          <w:sz w:val="32"/>
          <w:szCs w:val="32"/>
        </w:rPr>
        <w:t> </w:t>
      </w:r>
      <w:r w:rsidRPr="00136B16">
        <w:rPr>
          <w:rFonts w:ascii="仿宋" w:eastAsia="仿宋" w:hAnsi="仿宋" w:cs="宋体" w:hint="eastAsia"/>
          <w:kern w:val="0"/>
          <w:sz w:val="32"/>
          <w:szCs w:val="32"/>
        </w:rPr>
        <w:t xml:space="preserve"> 本办法自2017年1月1日起施行，有效期为3年。</w:t>
      </w:r>
    </w:p>
    <w:p w:rsidR="003A1365" w:rsidRDefault="003A1365">
      <w:bookmarkStart w:id="0" w:name="_GoBack"/>
      <w:bookmarkEnd w:id="0"/>
    </w:p>
    <w:sectPr w:rsidR="003A1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5D"/>
    <w:rsid w:val="00136B16"/>
    <w:rsid w:val="003A1365"/>
    <w:rsid w:val="004A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81BA9-9910-40B1-A6A5-6BA52BC3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084140">
      <w:bodyDiv w:val="1"/>
      <w:marLeft w:val="0"/>
      <w:marRight w:val="0"/>
      <w:marTop w:val="0"/>
      <w:marBottom w:val="0"/>
      <w:divBdr>
        <w:top w:val="none" w:sz="0" w:space="0" w:color="auto"/>
        <w:left w:val="none" w:sz="0" w:space="0" w:color="auto"/>
        <w:bottom w:val="none" w:sz="0" w:space="0" w:color="auto"/>
        <w:right w:val="none" w:sz="0" w:space="0" w:color="auto"/>
      </w:divBdr>
      <w:divsChild>
        <w:div w:id="1327243009">
          <w:marLeft w:val="0"/>
          <w:marRight w:val="0"/>
          <w:marTop w:val="100"/>
          <w:marBottom w:val="100"/>
          <w:divBdr>
            <w:top w:val="none" w:sz="0" w:space="0" w:color="auto"/>
            <w:left w:val="none" w:sz="0" w:space="0" w:color="auto"/>
            <w:bottom w:val="none" w:sz="0" w:space="0" w:color="auto"/>
            <w:right w:val="none" w:sz="0" w:space="0" w:color="auto"/>
          </w:divBdr>
          <w:divsChild>
            <w:div w:id="1681544223">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dashed" w:sz="6" w:space="0" w:color="CCCCCC"/>
                    <w:right w:val="none" w:sz="0" w:space="0" w:color="auto"/>
                  </w:divBdr>
                  <w:divsChild>
                    <w:div w:id="1490902479">
                      <w:marLeft w:val="0"/>
                      <w:marRight w:val="0"/>
                      <w:marTop w:val="0"/>
                      <w:marBottom w:val="0"/>
                      <w:divBdr>
                        <w:top w:val="none" w:sz="0" w:space="0" w:color="auto"/>
                        <w:left w:val="none" w:sz="0" w:space="0" w:color="auto"/>
                        <w:bottom w:val="none" w:sz="0" w:space="0" w:color="auto"/>
                        <w:right w:val="none" w:sz="0" w:space="0" w:color="auto"/>
                      </w:divBdr>
                    </w:div>
                  </w:divsChild>
                </w:div>
                <w:div w:id="20144489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2018-05-15T13:27:00Z</dcterms:created>
  <dcterms:modified xsi:type="dcterms:W3CDTF">2018-05-15T13:28:00Z</dcterms:modified>
</cp:coreProperties>
</file>