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bookmarkStart w:id="0" w:name="_GoBack"/>
      <w:r>
        <w:rPr>
          <w:rStyle w:val="5"/>
          <w:rFonts w:hint="eastAsia" w:ascii="宋体" w:hAnsi="宋体" w:eastAsia="宋体" w:cs="宋体"/>
          <w:i w:val="0"/>
          <w:caps w:val="0"/>
          <w:color w:val="333333"/>
          <w:spacing w:val="0"/>
          <w:kern w:val="0"/>
          <w:sz w:val="18"/>
          <w:szCs w:val="18"/>
          <w:bdr w:val="none" w:color="auto" w:sz="0" w:space="0"/>
          <w:shd w:val="clear" w:fill="FFFFFF"/>
          <w:lang w:val="en-US" w:eastAsia="zh-CN" w:bidi="ar"/>
        </w:rPr>
        <w:t>泰州市高港区吸引和用好优秀人才实施办法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第一条为大力实施和积极推进人才强区战略，根据中共泰州市委、泰州市人民政府《关于进一步吸引和用好优秀人才的若干规定》（泰发〔2007〕12号），结合我区实际，制定本办法。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第二条 各镇（街道）、部门要以邓小平理论和“三个代表”重要思想为指导，深入贯彻落实科学发展观，坚持党管人才原则，加强对人才工作的领导，切实抓好政策引导和规范，大力营造“尊重劳动、尊重知识、尊重人才、尊重创造”的良好氛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第三条 充分发挥各类用人单位引进、培养、使用人才的主体作用，大力吸引和用好优秀人才，努力营造引才、育才、用才的良好环境。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第四条 根据我区经济社会发展需要，区人力资源和社会保障部门定期编制发布年度人才开发专业目录，明确人才开发的重点领域、紧缺专业以及相关要求。该目录作为优秀人才确认的主要依据。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第二章 积极引进优秀人才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第五条 用人单位作为引进人才的主体，要积极创造条件引进下列各类优秀人才：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（一）中国科学院院士、中国工程院院士；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（二）国家有突出贡献的中青年专家；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（三）享受国务院政府特殊津贴人员，省（部）级有突出贡献的中青年专家；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（四）教授、研究员级高级工程师；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（五）其他正高职称人员、博士研究生；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（六）副高职称人员，硕士研究生，高级技师,包括我区事业单位中引进的相应层次的教育和医技人员；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（七）带资金、带项目、带技术的特殊人才；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（八）我区医药、机电（船舶）、化工等优势产业和生物、新材料、新能源、电子信息、现代农业、现代服务业等新兴产业急需的优秀人才。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第六条 经确认的优秀人才享受下列优惠政策：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 经费补贴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tbl>
      <w:tblPr>
        <w:tblW w:w="8305" w:type="dxa"/>
        <w:jc w:val="center"/>
        <w:tblCellSpacing w:w="0" w:type="dxa"/>
        <w:tblInd w:w="1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135"/>
        <w:gridCol w:w="992"/>
        <w:gridCol w:w="117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引 进 对 象</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安家补贴</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生活补贴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中国科学院院士、中国工程院院士</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100万元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国家有突出贡献的中青年专家</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40万元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享受国务院政府特殊津贴人员，省（部）级有突出贡献的中青年专家</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教授，研究员级高级工程师</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其他正高职称人员、博士研究生</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1.5万元/年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CellSpacing w:w="0" w:type="dxa"/>
          <w:jc w:val="center"/>
        </w:trPr>
        <w:tc>
          <w:tcPr>
            <w:tcW w:w="613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宋体" w:hAnsi="宋体" w:eastAsia="宋体" w:cs="宋体"/>
                <w:kern w:val="0"/>
                <w:sz w:val="24"/>
                <w:szCs w:val="24"/>
                <w:bdr w:val="none" w:color="auto" w:sz="0" w:space="0"/>
                <w:lang w:val="en-US" w:eastAsia="zh-CN" w:bidi="ar"/>
              </w:rPr>
              <w:t>企业引进的贡献突出的从事技术开发、经营管理的副高职称人员、硕士研究生和高级技师</w:t>
            </w:r>
          </w:p>
        </w:tc>
        <w:tc>
          <w:tcPr>
            <w:tcW w:w="992"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5万元</w:t>
            </w:r>
          </w:p>
        </w:tc>
        <w:tc>
          <w:tcPr>
            <w:tcW w:w="117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1万元/年</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引进人才的安家补贴一次性发放；中国科学院院士、中国工程院院士生活补贴终身发放，其他人员自引进之日起发放3年。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引进的海外优秀人才在享受同等对象经费补贴标准的基础上，每人增加安家补贴2万元。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引进的不属于上述对象的其他优秀人才，经确认后可视情给予经费补贴，具体标准由区人力资源和社会保障部门组织相关专家评审后确定。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经费补贴标准就高执行，不重复享受。夫妻双方同属引进对象的，人才开发专项资金提供的安家补贴按一方就高享受。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财政全额预算单位引进人才的经费补贴，从同级人才开发专项资金中列支；财政差额预算、自收自支事业单位和企业引进人才的经费补贴，由同级人才开发专项资金和用人单位各承担50%；其他单位引进人才的经费补贴，由同级人才开发专项资金承担30%，用人单位承担70%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1.副高职称人员或硕士研究生经确认后可聘入事业单位（不含参照公务员法管理的事业单位，下同）。企业或民办非企业单位引进的优秀人才，经区委组织部、区人力资源和社会保障局确认后其人事关系可挂靠区人才流动服务中心，参照自收自支事业单位同类人员核定档案工资、参加事业单位养老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2.优秀人才纯属流动原因而不能正常接转人事关系需重建档案的，经区委组织部、区人力资源和社会保障局确认后，可重新建档并按规定办理社会保险关系、住房公积金等接续手续。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3.考录进入机关和参照公务员法管理的事业单位的研究生，试用期满考核合格的，硕士研究生可定为副主任科员，博士研究生可定为主任科员；取得海外硕士研究生学位的，工作年限满四年可定为主任科员；在原单位已获得相应职级的，工作满半年考核合格的可予以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4.优秀人才在原工作地获得的专业技术资格应予确认，进入事业单位的可在岗位数额内优先聘任，有突出贡献的可高聘专业技术职务，岗位数额已满的可申请特设岗位。硕士研究生毕业后从事本专业技术工作满2年且业绩显著的，可申报初定中级专业技术资格；对参加工作后取得学历的研究生，申报专业技术资格时，毕业前后工作年限连续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5.第五条第一至第五款所列对象的配偶或一名子女，具有全日制普通高校本科及以上学历的，可由专业对口的事业单位在编制空额内直接聘用。其他引进人才的配偶和子女由引进单位帮助推荐就业或进入市场双选就业。引进人才的子女入学，由教育部门提供公有优质教育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6.引进的优秀人才在购房前由用人单位帮助解决宿舍。财政全额预算单位可向区人力资源和社会保障部门申请安排过渡房，过渡房一年内免收房租，第二、三年个人承担50%，第四年起由个人自负。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第七条 建立和完善柔性人才引进机制。鼓励国内外各类优秀人才通过柔性流动方式来我区从事兼职、咨询、讲学、科研和技术合作、技术入股、投资兴办企业或从事其他专业服务。鼓励用人单位以岗位聘用、项目聘用、任务聘用和人才租赁等方式引进优秀人才和智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(一)凡到我区工作的各类柔性流动优秀人才，可由区人力资源和社会保障部门办理《特聘工作证》。用人单位正式聘用后，即享有包括购置房产、子女教育、交通、社会保障等方面的市民待遇。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(二)柔性流动的优秀人才可参照单位在职人员申报专业技术任职资格，不受指标限制，同时可在我区参加各级专家选拔和申报科技人才工作方面的各类奖项。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(三)携带技术、项目、专利的人才，在我区投产或研制开发新产品、推广应用新成果产生经济效益的，由区人才开发专项资金给予一定奖励；区科技经费对引进的创业创新项目申报给予优先支持。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第三章 用好现有优秀人才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第八条 稳定现有优秀人才。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(一)事业单位中已取得正高职称的专业技术人员，工作表现较好、符合岗位聘用条件的，如因岗位设置数额限制未能聘用的，可按正高职称核定其档案工资，作为缴纳社会保险费或核定退休费的依据。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有突出贡献的企业高级经营管理和技术开发人才，经区委组织部、区人力资源和社会保障局确认后，人事关系可挂靠区人才流动服务中心，参照自收自支事业单位同类人员标准核定档案工资、参加事业养老保险，具体办法另行制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(三)企业高技能优秀人才可应聘本单位管理、技术岗位，受聘在相应管理、技术岗位上的高级技师、技师，可分别享受本单位高级工程师、工程师的同等工资福利待遇。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(四)完善社会保障机制。用人单位必须依法为优秀人才办理社会保险。对有突出贡献的人才，可为其办理家庭财产、人身意外伤害、补充医疗、企业年金等附加保险，所需经费列入生产成本在税前列支。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第九条 促进现有优秀人才发挥作用。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鼓励人才兼职兼薪。企事业单位专业技术人才和管理人才，在不损害单位或他人知识产权和利益的前提下，可在区内受聘兼任技术和管理职务，实行兼职兼薪。用人单位发放的兼职费用经核准可列入生产成本在税前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(二)鼓励企业实行优秀人才合同终身制。用人单位可与优秀专业技术、管理人才在双方自愿的前提下，签订无固定期限劳动合同。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鼓励、支持退休科技人才和管理人才从事科研技术开发和咨询、领办创办企业等。退休人才被用人单位返聘，在协议薪酬的基础上，用人单位可为其一次性购买一定数额的商业保险。被事业单位返聘的优秀人才，经确认后，在聘期内视同在职人员将其经费列入用人单位预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第十条 大力培养现有人才。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建立多渠道的人才培养投入机制。政府人才培养投入应与财政收入同步增长并可适当超出；用人单位按职工工资总额2.5%提取职工教育经费，优先用于人才培养；进一步拓宽人才培训教育投资渠道，支持和引导社会组织和个人投资人才智力开发事业；鼓励个人自费参加培训，提高素质和岗位竞争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加大人才培训力度，强化能力建设。区委组织部、区人力资源和社会保障局要充分发挥牵头作用，围绕我区医药、化工、机电（船舶）和现代农业等支柱产业，以改善知识结构、增强创新能力、提高综合素质为目标，定期举办各类培训班、专题讲座，提升现有人才素质和层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三)鼓励用人单位与知名高等院校、科研院所合作，在职培养各类紧缺人才。人才学成后回原单位工作并签订不少于5年服务期协议的，由区人才开发专项资金给予一次性资助，获得博士学位并取得博士研究生学历的资助10000元，获得博士学位或博士研究生学历的资助6000元；企业优秀人才获得硕士学位并取得硕士研究生学历的资助3000元，获得硕士学位或硕士研究生学历的资助2000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(四)鼓励用人单位选送优秀人才赴国（境）外进行培训，区人才开发专项资金择优给予经费资助，资助标准视培训项目确定。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第十一条 加大人才激励力度。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一)完善人才分配机制。鼓励用人单位建立多元化的分配机制，允许各种生产要素参与分配，有条件的单位可采用股权、期权等分配方式。企事业单位对关键岗位的技术骨干和承担重点工程及科研项目的带头人，可实行协议工资制、年薪制、奖股制。一般技术人员、管理人员的收入可与岗位责任或科研成果挂钩，实行岗位工资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(二)对贡献突出的优秀人才实施奖励。设立“高港区杰出人才奖”，获奖者由区委、区政府授予荣誉称号并发放奖金。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第四章 优秀人才申报与管理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第十二条 用人单位须与引进人才签订协议，明确服务期限和违约责任等，服务期限一般不少于5年。如引进人才违约，则停止享受本办法规定的各项待遇，同时根据实际服务年限将已享受的各项待遇每年递减20%后，余额退还给原支出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第十三条 优秀人才引进后，用人单位应及时填写《高港区引进优秀人才确认登记表》，同时提供引进人才相关证明材料，报区委组织部、区人力资源和社会保障局确认后，方可享受本办法规定的各项待遇。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第十四条</w:t>
      </w:r>
      <w:r>
        <w:rPr>
          <w:rFonts w:hint="eastAsia" w:ascii="宋体" w:hAnsi="宋体" w:eastAsia="宋体" w:cs="宋体"/>
          <w:b/>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实行优秀人才引进计划备案制度。用人单位应在每年11月底前将次年优秀人才引进计划报区委组织部、编办、区人力资源和社会保障局，经审核汇总后作为年度人才专项开发资金预算的基本依据。未申报计划的，相关费用不纳入人才开发专项资金支出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第十五条 引进优秀人才的安家补贴和生活补贴，由用人单位填写《高港区引进优秀人才待遇兑现申请表》，并提供《高港区引进优秀人才确认登记表》、用人单位与人才个人签订的协议书等相关材料，报经区委组织部、区人力资源和社会保障局审核后按本办法拨付，个人凭有效证件到区人力资源和社会保障部门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人才开发专项资金和用人单位共同承担的相关费用，由用人单位按照规定标准先行全额发放到位后，凭相关支付凭证向区人力资源和社会保障部门申请补贴资金。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第十六条</w:t>
      </w:r>
      <w:r>
        <w:rPr>
          <w:rFonts w:hint="eastAsia" w:ascii="宋体" w:hAnsi="宋体" w:eastAsia="宋体" w:cs="宋体"/>
          <w:b/>
          <w:i w:val="0"/>
          <w:caps w:val="0"/>
          <w:color w:val="333333"/>
          <w:spacing w:val="0"/>
          <w:kern w:val="0"/>
          <w:sz w:val="18"/>
          <w:szCs w:val="18"/>
          <w:bdr w:val="none" w:color="auto" w:sz="0" w:space="0"/>
          <w:shd w:val="clear" w:fill="FFFFFF"/>
          <w:lang w:val="en-US" w:eastAsia="zh-CN" w:bidi="ar"/>
        </w:rPr>
        <w:t> </w:t>
      </w: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引进优秀人才需重建人事档案的，应由用人单位填报《引进优秀人才档案重建审核确认表》、《干部履历表》，并提供学历、学位、专业技术资格等相关证明材料。党委部门所属事业单位引进的，由区委组织部负责；政府部门所属事业单位以及企业、民办非企业等单位引进的，由区人力资源和社会保障局负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第十七条 本办法第八条第二款、第九条第三款所称有突出贡献的企业高级经营管理和技术开发人才、事业单位返聘优秀人才，由用人单位填写《高港区优秀人才确认登记表》，并提供相关证明材料报区委组织部、区人力资源和社会保障局确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第十八条 本办法第十条第三款规定在职取得博士或硕士学历、学位人员的资助，由所在单位填写《高港区优秀人才待遇兑现申请表》，并提供学历证书、学位证书、协议书等证明材料报区委组织部、区人力资源和社会保障局审核后，凭个人有效证件到区人力资源和社会保障局领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第十九条 优秀人才办理《特聘工作证》，需填报《优秀人才工作情况登记表》，同时提供与工作单位签订的聘用合同以及学历、职业资格、荣誉称号等证件及有关证明材料的原件及复印件。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第五章 加大人才开发资金投入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第二十条 区财政每年安排1000万元作为人才开发专项资金，并随财政收入增长逐年提高。人才开发专项资金实行专款专用，当年结余部分结转下年使用。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第二十一条 人才开发专项资金统一纳入区财政专项资金管理，并按规定程序报批，资金管理和使用接受区审计、监察部门的监督检查。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第二十二条 各镇（街道）、各部门应积极创造条件相应设立人才开发专项资金，主要用于本地区、本系统人才引进、开发、奖励等。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第二十三条 鼓励企事业单位设立人才开发专项资金。企业用于人才引进、人才开发的费用可列入生产成本在税前列支。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第六章 附 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第二十四条 本办法适用于本区范围内的机关、企事业单位和民办非企业单位。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第二十五条 本办法由区委组织部、区人力资源和社会保障局负责解释。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333333"/>
          <w:spacing w:val="0"/>
          <w:sz w:val="18"/>
          <w:szCs w:val="18"/>
        </w:rPr>
      </w:pPr>
      <w:r>
        <w:rPr>
          <w:rFonts w:hint="eastAsia" w:ascii="宋体" w:hAnsi="宋体" w:eastAsia="宋体" w:cs="宋体"/>
          <w:i w:val="0"/>
          <w:caps w:val="0"/>
          <w:color w:val="333333"/>
          <w:spacing w:val="0"/>
          <w:kern w:val="0"/>
          <w:sz w:val="18"/>
          <w:szCs w:val="18"/>
          <w:bdr w:val="none" w:color="auto" w:sz="0" w:space="0"/>
          <w:shd w:val="clear" w:fill="FFFFFF"/>
          <w:lang w:val="en-US" w:eastAsia="zh-CN" w:bidi="ar"/>
        </w:rPr>
        <w:t>　　第二十六条 本办法自下发之日起施行。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042654A"/>
    <w:rsid w:val="12BF5EDD"/>
    <w:rsid w:val="1A824838"/>
    <w:rsid w:val="1C9E173D"/>
    <w:rsid w:val="41E7481A"/>
    <w:rsid w:val="4C6D7A16"/>
    <w:rsid w:val="4DA03202"/>
    <w:rsid w:val="53DC6A2A"/>
    <w:rsid w:val="58905A21"/>
    <w:rsid w:val="5AA65DA7"/>
    <w:rsid w:val="5BC767B8"/>
    <w:rsid w:val="6C244AF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157</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2018-07-04T10:53:18Z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