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DD" w:rsidRPr="003176DD" w:rsidRDefault="003176DD" w:rsidP="003176DD">
      <w:pPr>
        <w:widowControl/>
        <w:shd w:val="clear" w:color="auto" w:fill="FFFFFF"/>
        <w:spacing w:line="750" w:lineRule="atLeast"/>
        <w:jc w:val="center"/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</w:pPr>
      <w:bookmarkStart w:id="0" w:name="_GoBack"/>
      <w:r w:rsidRPr="003176DD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>市科委关于印发天津市</w:t>
      </w:r>
      <w:r w:rsidRPr="003176DD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>“</w:t>
      </w:r>
      <w:r w:rsidRPr="003176DD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>杀手锏</w:t>
      </w:r>
      <w:r w:rsidRPr="003176DD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>”</w:t>
      </w:r>
      <w:r w:rsidRPr="003176DD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>产品认定补贴办法的通知</w:t>
      </w:r>
      <w:r w:rsidRPr="003176DD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 xml:space="preserve"> </w:t>
      </w:r>
      <w:bookmarkEnd w:id="0"/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>各有关单位：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为贯彻落实创新驱动发展战略，深入推进科技型企业创新发展，引导和鼓励科技型企业开发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产品，提升自主创新能力，现将《天津市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产品认定补贴办法》印发给你们，望遵照执行。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righ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2017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年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10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月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26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日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righ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> 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　　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产品认定补贴办法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第一章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总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则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第一条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为贯彻落实创新驱动发展战略，深入推进科技型企业创新发展，引导和鼓励科技型企业培育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产品，进一步提升自主创新能力，提高企业产品质量和品牌影响力，特制定本办法。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第二条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  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产品是指科技型企业自主开发并已上市销售的、具备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人无我有、人有我优、人优我特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特征的技术水平高、市场潜力大、竞争力强的优质产品。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第三条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市科委负责天津市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产品的认定管理。经认定后，由市和区（或局级主管部门）两级财政给予资金支持。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第二章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认定的标准和程序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lastRenderedPageBreak/>
        <w:t xml:space="preserve">　　第四条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申请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产品认定应满足以下条件：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（一）企业条件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1.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经认定的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天津市科技小巨人企业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，且上年度主营业务收入达到亿元以上；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2.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具有稳定的研发投入，企业上年度研发经费支出占主营业务总收入比重要达到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3%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以上；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3.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掌握申报产品的关键核心技术，拥有相关自主知识产权；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4.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具有完备的科研项目管理制度、研发投入核算体系和研发人员绩效考核奖励制度，研究开发组织管理水平较高；具有明确的企业创新发展战略和规划。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（二）产品条件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1.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产品须拥有发明专利或稳定性强的实用新型专利群，且技术水平达到国内领先及以上水平；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2.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产品年销售收入达到亿元以上，或者细分市场占有率居国内前三位，且上年度产品销售收入在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5000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万元以上；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3.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产品必须符合国家和我市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十三五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时期的产业政策，符合当年度产品申报指南；产品须具有执行标准，并通过国家或我市质量技术监督部门资质认定的实验室、检测机构或指定第三方检测机构、国际标准检测组织在中国授权的检测机构的检测；属于国家有特殊行业管理要求的产品，必须具有相关行业主管部门批准颁发的产品生产许可；属于国家实施强制性产品认证的产品，必须通过强制性产品认证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4.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产品生产制造过程和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/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或产品本身（材料、结构、器件等）涉及有毒、有害物质等环境污染以及废水、废气、废渣、噪声等环境影响的产品，须经治理达到国家环保标准，提供有关环保检（监）测部门、第三方环保监督检测机构出具的检测报告或证明材料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第五条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产品认定程序如下：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lastRenderedPageBreak/>
        <w:t xml:space="preserve">　　（一）申报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市科委发布公开征集通知和申报指南；企业按照要求填写申报系统，准备相关材料；经区（功能区）科技主管部门或局级主管部门初审推荐、市科委审查后，企业自申报系统生成纸质申报材料，加盖申报单位和区（功能区）科技主管部门或局级主管部门公章后报送市科委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（二）评审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市科委委托相关中介部门组织技术、财务等方面专家进行评审。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（三）认定与发布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1.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市科委根据专家评审结果，提出天津市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产品拟认定名单，并向社会公示。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2.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公示无异议的产品由市科委颁发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‘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’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产品认定证书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第三章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支持办法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第六条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对于认定的天津市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产品，作为对企业研发投入后补助，给予不超过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100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万元的财政资金支持，市和区财政（或局级主管部门）各负担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50%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，并通过签订研发合同的方式下达支持资金。对已列入市科委科技领军企业培育重大项目、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产品研发项目支持的申报单位，其所申报的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产品只给予认定，不再给予资金支持。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第四章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附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则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第七条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经认定的天津市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杀手锏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产品有下列行为之一的，将取消其认定资格，追回财政补贴资金，并视情况轻重，追究其法律责任：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lastRenderedPageBreak/>
        <w:t xml:space="preserve">　　（一）在申请认定过程中存在严重弄虚作假行为的；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（二）发生重大安全、质量事故或有严重环境违法行为的。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第八条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本办法自颁布之日起执行，有效期至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2020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年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12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月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31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日。</w:t>
      </w:r>
    </w:p>
    <w:p w:rsidR="003176DD" w:rsidRPr="003176DD" w:rsidRDefault="003176DD" w:rsidP="003176DD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　　第九条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3176DD">
        <w:rPr>
          <w:rFonts w:ascii="Arial, Helvetica, sans-serif" w:eastAsia="宋体" w:hAnsi="Arial, Helvetica, sans-serif" w:cs="宋体"/>
          <w:kern w:val="0"/>
          <w:szCs w:val="21"/>
        </w:rPr>
        <w:t>本办法由市科委负责解释。</w:t>
      </w:r>
    </w:p>
    <w:p w:rsidR="003127B1" w:rsidRPr="003176DD" w:rsidRDefault="003127B1"/>
    <w:sectPr w:rsidR="003127B1" w:rsidRPr="00317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DD"/>
    <w:rsid w:val="003127B1"/>
    <w:rsid w:val="0031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C48E1-A415-4F05-A872-6664883A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4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888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18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9554">
              <w:marLeft w:val="0"/>
              <w:marRight w:val="0"/>
              <w:marTop w:val="150"/>
              <w:marBottom w:val="15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69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353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2018-05-18T01:56:00Z</dcterms:created>
  <dcterms:modified xsi:type="dcterms:W3CDTF">2018-05-18T01:56:00Z</dcterms:modified>
</cp:coreProperties>
</file>