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D60" w:rsidRPr="001B1D60" w:rsidRDefault="001B1D60" w:rsidP="001B1D60">
      <w:pPr>
        <w:widowControl/>
        <w:shd w:val="clear" w:color="auto" w:fill="FFFFFF"/>
        <w:spacing w:line="750" w:lineRule="atLeast"/>
        <w:jc w:val="center"/>
        <w:outlineLvl w:val="0"/>
        <w:rPr>
          <w:rFonts w:ascii="微软雅黑" w:eastAsia="微软雅黑" w:hAnsi="微软雅黑" w:cs="宋体"/>
          <w:color w:val="CC0000"/>
          <w:kern w:val="36"/>
          <w:sz w:val="45"/>
          <w:szCs w:val="45"/>
        </w:rPr>
      </w:pPr>
      <w:r w:rsidRPr="001B1D60">
        <w:rPr>
          <w:rFonts w:ascii="微软雅黑" w:eastAsia="微软雅黑" w:hAnsi="微软雅黑" w:cs="宋体" w:hint="eastAsia"/>
          <w:color w:val="CC0000"/>
          <w:kern w:val="36"/>
          <w:sz w:val="45"/>
          <w:szCs w:val="45"/>
        </w:rPr>
        <w:t>关于印发南谯区推进工业强区若干政策的通知</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关于印发南谯区推进工业强区</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若干政策的通知</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 </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各镇人民政府，龙蟠社管中心，开发区管委会，区政府各部门、各直属机构：</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《南谯区推进工业强区若干政策》已经区六届人民政府第十三次常务会议通过，现印发给你们，请认真贯彻执行。</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 </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滁州市南谯区人民政府办公室</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2017年11月14日</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 </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 </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南谯区推进工业强区若干政策</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 </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为深入落实“产业强区”战略，推动我区制造业转型升级、提质增效、做大做强，根据《安徽省人民政府关于支持制造强省有关政策》（皖政〔2017〕53号）、《滁州市人民政府关于印发滁州市加快发展先进制造业推进工业强市若干政策的通知》（滁政〔2017〕64号）和《关于加快非公有制经济发展的实施意见》（滁发〔2017〕16号）等有关文件精神，结合我区实际，特制定如下政策。</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lastRenderedPageBreak/>
        <w:t>一、加大财政扶持力度</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（一）</w:t>
      </w:r>
      <w:r w:rsidRPr="001B1D60">
        <w:rPr>
          <w:rFonts w:ascii="微软雅黑" w:eastAsia="微软雅黑" w:hAnsi="微软雅黑" w:cs="宋体" w:hint="eastAsia"/>
          <w:color w:val="000000"/>
          <w:kern w:val="0"/>
          <w:sz w:val="24"/>
          <w:szCs w:val="24"/>
        </w:rPr>
        <w:t>设立5000万元工业强区专项资金，并根据发展情况逐年增加，用于扶持工业企业发展、平台建设和表彰奖励。</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（二）</w:t>
      </w:r>
      <w:r w:rsidRPr="001B1D60">
        <w:rPr>
          <w:rFonts w:ascii="微软雅黑" w:eastAsia="微软雅黑" w:hAnsi="微软雅黑" w:cs="宋体" w:hint="eastAsia"/>
          <w:color w:val="000000"/>
          <w:kern w:val="0"/>
          <w:sz w:val="24"/>
          <w:szCs w:val="24"/>
        </w:rPr>
        <w:t>设立总规模不低于5亿元的主导产业和中小企业发展专项基金，用于支持重大招商引资工业项目建设。</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二、推进制造业提升</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（三）支持技术改造。</w:t>
      </w:r>
      <w:r w:rsidRPr="001B1D60">
        <w:rPr>
          <w:rFonts w:ascii="微软雅黑" w:eastAsia="微软雅黑" w:hAnsi="微软雅黑" w:cs="宋体" w:hint="eastAsia"/>
          <w:color w:val="000000"/>
          <w:kern w:val="0"/>
          <w:sz w:val="24"/>
          <w:szCs w:val="24"/>
        </w:rPr>
        <w:t>当年纳税50万元以上（不含土地使用税）、生产设备投入在500万元以上（其中单台生产设备投入不少于20万元，可提供上年度生产设备发票）、近三年未享受区级技改补贴的规模企业，由受益财政给予企业技术改造补贴，其中：传统规上工业企业，按技改项目主要生产设备投入的3%给予一次性补贴，最高不超过30万元；企业属于战略性新兴产业，按技改项目主要生产设备投入的5%给予一次性补贴，最高不超过50万元。    </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鼓励企业参与市级首台（套）重大技术装备认定，对首次认定为市级首台（套）重大技术装备的区内研制单位，由受益财政按首台（套）售价的10%给予补助，单个企业最高补助100万元。</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（四）支持智能制造。</w:t>
      </w:r>
      <w:r w:rsidRPr="001B1D60">
        <w:rPr>
          <w:rFonts w:ascii="微软雅黑" w:eastAsia="微软雅黑" w:hAnsi="微软雅黑" w:cs="宋体" w:hint="eastAsia"/>
          <w:color w:val="000000"/>
          <w:kern w:val="0"/>
          <w:sz w:val="24"/>
          <w:szCs w:val="24"/>
        </w:rPr>
        <w:t>鼓励企业新上智能制造项目，对认定为市级的智能工厂、数字化车间，由受益财政分别给予一次性奖补5万元、3万元。</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鼓励企业实施“机器换人”，对采购工业机器人或机械手（≥3个自由度），由受益财政按采购总额给予20%的一次性补贴，单个企业每年最高不超过50万元。</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对新认定的市级两化融合示范企业，由受益财政一次性奖励5万元。</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（五）支持精品制造</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lastRenderedPageBreak/>
        <w:t>对获得“安徽工业精品”的产品，每年集中组织在国家和省、市媒体宣传推介，所需费用按照“一事一议”给予奖补。</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对获得“安徽省著名商标”的企业，一次性奖励5万元；对“滁州市知名商标”的企业，一次性奖励2万元。</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对新获得“中国名牌产品”称号的企业，一次性奖励25万元；对新获得“安徽省名牌产品”称号的企业，一次性奖励5万元；对主导制修订国际标准、国家标准、行业标准、安徽省地方标准或团体标准的主体，分别给予一次性奖励25万元、15万元、10万元、2.5万元；对获得国家级或省级标准化项目的主体，分别给予一次性奖励5万元、2.5万元；对采用国际标准和国外先进标准组织生产并获‘采用国际标准证书’的企业，每项奖励1万元。各类奖励如有重复，以最高标准计算，不重复奖励。</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（六）支持绿色制造</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对进入《全省工业节能环保产业“五个一百”推介目录》的企业，由受益财政给予一次性奖补10万元。</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 三、鼓励企业科技创新和人才引进</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（七）</w:t>
      </w:r>
      <w:r w:rsidRPr="001B1D60">
        <w:rPr>
          <w:rFonts w:ascii="微软雅黑" w:eastAsia="微软雅黑" w:hAnsi="微软雅黑" w:cs="宋体" w:hint="eastAsia"/>
          <w:color w:val="000000"/>
          <w:kern w:val="0"/>
          <w:sz w:val="24"/>
          <w:szCs w:val="24"/>
        </w:rPr>
        <w:t>深入贯彻落实《关于印发〈南谯区实施四大工程加快推进科技创新发展的指导意见〉配套文件（一）的通知》（南办发〔2017〕12号）和《关于印发〈南谯区实施四大工程加快推进科技创新发展的指导意见〉配套文件（二）的通知》（南办发〔2017〕16号）精神，对研发投入、创新创业平台建设、重大科技专项、引进科技创新创业人才（团队）、企业研究开发新产品和高新技术产品、知识产权保护、提质增效、科技保险各类科技成果转化、高层次人</w:t>
      </w:r>
      <w:r w:rsidRPr="001B1D60">
        <w:rPr>
          <w:rFonts w:ascii="微软雅黑" w:eastAsia="微软雅黑" w:hAnsi="微软雅黑" w:cs="宋体" w:hint="eastAsia"/>
          <w:color w:val="000000"/>
          <w:kern w:val="0"/>
          <w:sz w:val="24"/>
          <w:szCs w:val="24"/>
        </w:rPr>
        <w:lastRenderedPageBreak/>
        <w:t>才、新型研发机构、高新技术企业发展、企业主办（参加）科技类展会等进行奖励。</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  </w:t>
      </w:r>
      <w:r w:rsidRPr="001B1D60">
        <w:rPr>
          <w:rFonts w:ascii="微软雅黑" w:eastAsia="微软雅黑" w:hAnsi="微软雅黑" w:cs="宋体" w:hint="eastAsia"/>
          <w:color w:val="000000"/>
          <w:kern w:val="0"/>
          <w:sz w:val="24"/>
          <w:szCs w:val="24"/>
        </w:rPr>
        <w:t>四、支持企业做大做强</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（八）鼓励企业申规。</w:t>
      </w:r>
      <w:r w:rsidRPr="001B1D60">
        <w:rPr>
          <w:rFonts w:ascii="微软雅黑" w:eastAsia="微软雅黑" w:hAnsi="微软雅黑" w:cs="宋体" w:hint="eastAsia"/>
          <w:color w:val="000000"/>
          <w:kern w:val="0"/>
          <w:sz w:val="24"/>
          <w:szCs w:val="24"/>
        </w:rPr>
        <w:t>对当年新投产项目进入规上工业企业给予5万元奖励，老企业返规上工业企业给予3万元奖励，奖励资金由受益财政承担。</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规模工业企业当年产值首次达到1亿元、3亿元、5亿元、10亿元，分别给予1万元、2万元、3万元、5万元的奖补。</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对新认定的省级“专精特新”企业、市级“专精特新”企业由受益财政一次性奖励5万元、3万元。</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（九）企业三年销售收入逐年递增的，给予销售费用奖补。</w:t>
      </w:r>
      <w:r w:rsidRPr="001B1D60">
        <w:rPr>
          <w:rFonts w:ascii="微软雅黑" w:eastAsia="微软雅黑" w:hAnsi="微软雅黑" w:cs="宋体" w:hint="eastAsia"/>
          <w:color w:val="000000"/>
          <w:kern w:val="0"/>
          <w:sz w:val="24"/>
          <w:szCs w:val="24"/>
        </w:rPr>
        <w:t>对销售收入1-3亿元的，且年均增长30%以上，由受益财政给予5万元的奖励；对销售收入3-5亿元的，年均增长25%以上，由受益财政给予8万元的奖励；对销售收入5-10亿元的，年均增长20%以上，由受益财政给予10万元的奖励；对销售收入10亿元以上的，年均增长15%以上，由受益财政给予15万元的奖励。</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（十）</w:t>
      </w:r>
      <w:r w:rsidRPr="001B1D60">
        <w:rPr>
          <w:rFonts w:ascii="微软雅黑" w:eastAsia="微软雅黑" w:hAnsi="微软雅黑" w:cs="宋体" w:hint="eastAsia"/>
          <w:color w:val="000000"/>
          <w:kern w:val="0"/>
          <w:sz w:val="24"/>
          <w:szCs w:val="24"/>
        </w:rPr>
        <w:t>对年主营业务收入（企业应税营业收入）首次突破100亿元、50亿元、30亿元，增幅超过当年全市规模以上工业企业平均增长水平且当年盈利的工业企业，由受益财政分别给予250万、100万元和50万元一次性奖励，每上一个台阶奖励一次，奖励资金主要用于奖励企业经营团队。</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对新进入全省纳税百强民营企业，由受益财政予一次性奖励50万元。</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（十一）</w:t>
      </w:r>
      <w:r w:rsidRPr="001B1D60">
        <w:rPr>
          <w:rFonts w:ascii="微软雅黑" w:eastAsia="微软雅黑" w:hAnsi="微软雅黑" w:cs="宋体" w:hint="eastAsia"/>
          <w:color w:val="000000"/>
          <w:kern w:val="0"/>
          <w:sz w:val="24"/>
          <w:szCs w:val="24"/>
        </w:rPr>
        <w:t>围绕打造10亿元以上企业，制定年度产值、税收任务，对年度主营业务收入（企业应税营业收入）达到20亿元、15亿元、10亿元的工业企业，由受益财政分别给予企业20万元、15万元、10万元一次性奖励。</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lastRenderedPageBreak/>
        <w:t>五、降低企业运营成本</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（十二）</w:t>
      </w:r>
      <w:r w:rsidRPr="001B1D60">
        <w:rPr>
          <w:rFonts w:ascii="微软雅黑" w:eastAsia="微软雅黑" w:hAnsi="微软雅黑" w:cs="宋体" w:hint="eastAsia"/>
          <w:color w:val="000000"/>
          <w:kern w:val="0"/>
          <w:sz w:val="24"/>
          <w:szCs w:val="24"/>
        </w:rPr>
        <w:t>严格贯彻落实《安徽省人民政府关于降成本减轻实体经济企业负担的实施意见》（皖政〔2016〕54号）、《安徽省人民政府办公厅关于进一步降低实体经济企业成本的通知》（皖政办〔2017〕43号）、《滁州市人民政府关于降低工业企业运行成本促进供给侧结构性改革实施意见》（滁政〔2016〕56号）和《关于降低工业企业运行成本促进供给侧结构性改革实施意见》（南政函〔2016〕56号）等政策精神，进一步降低实体经济企业运行成本。</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（十三）</w:t>
      </w:r>
      <w:r w:rsidRPr="001B1D60">
        <w:rPr>
          <w:rFonts w:ascii="微软雅黑" w:eastAsia="微软雅黑" w:hAnsi="微软雅黑" w:cs="宋体" w:hint="eastAsia"/>
          <w:color w:val="000000"/>
          <w:kern w:val="0"/>
          <w:sz w:val="24"/>
          <w:szCs w:val="24"/>
        </w:rPr>
        <w:t>对照《滁州市困难企业认定办法》（滁经信运行〔2016〕167号），组织区内困难企业向市社保中心申请签定五项社会保险（养老、医疗、失业、工伤、生育）缓缴协议，缓解企业资金压力。</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（十四）</w:t>
      </w:r>
      <w:r w:rsidRPr="001B1D60">
        <w:rPr>
          <w:rFonts w:ascii="微软雅黑" w:eastAsia="微软雅黑" w:hAnsi="微软雅黑" w:cs="宋体" w:hint="eastAsia"/>
          <w:color w:val="000000"/>
          <w:kern w:val="0"/>
          <w:sz w:val="24"/>
          <w:szCs w:val="24"/>
        </w:rPr>
        <w:t>继续扩大企业电力直接交易规模；对用气量大的工业企业，争取燃气公司支持；严格执行蒸汽浮动定价机制。</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六、强化激励</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（十五）突出工作考核。</w:t>
      </w:r>
      <w:r w:rsidRPr="001B1D60">
        <w:rPr>
          <w:rFonts w:ascii="微软雅黑" w:eastAsia="微软雅黑" w:hAnsi="微软雅黑" w:cs="宋体" w:hint="eastAsia"/>
          <w:color w:val="000000"/>
          <w:kern w:val="0"/>
          <w:sz w:val="24"/>
          <w:szCs w:val="24"/>
        </w:rPr>
        <w:t>建立工业经济发展调度、通报、考核机制，区政府对在完成年度经济目标任务，工业项目建设、经济总量上台阶等方面综合考评前三名的镇（社管中心）、开发区给予5万元奖励，其中单位主要负责同志、分管负责同志各奖励总额10%，其余部分奖励单位其他同志。</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企业当年入库税金500万元以上，应税销售收入及入库税金同比双增长的，按应税销售收入占50%、税金占50%综合打分，评选前10位的企业，授予“优秀企业”奖牌，奖励企业领导班子10万元，其中法人代表奖励不少于50%。</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（十六）围绕企业上台阶、上规模、上水平，持续开展企业帮扶工作</w:t>
      </w:r>
      <w:r w:rsidRPr="001B1D60">
        <w:rPr>
          <w:rFonts w:ascii="微软雅黑" w:eastAsia="微软雅黑" w:hAnsi="微软雅黑" w:cs="宋体" w:hint="eastAsia"/>
          <w:color w:val="000000"/>
          <w:kern w:val="0"/>
          <w:sz w:val="24"/>
          <w:szCs w:val="24"/>
        </w:rPr>
        <w:t>。建立企业帮扶考核体系，每年评选10个优秀单位、10名帮扶先进个人，分别给予2</w:t>
      </w:r>
      <w:r w:rsidRPr="001B1D60">
        <w:rPr>
          <w:rFonts w:ascii="微软雅黑" w:eastAsia="微软雅黑" w:hAnsi="微软雅黑" w:cs="宋体" w:hint="eastAsia"/>
          <w:color w:val="000000"/>
          <w:kern w:val="0"/>
          <w:sz w:val="24"/>
          <w:szCs w:val="24"/>
        </w:rPr>
        <w:lastRenderedPageBreak/>
        <w:t>万元、1000元奖励。单位奖励主要负责同志、分管负责同志各奖励总额10%，其余部分奖励单位其他同志。</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七、附则</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（十七）</w:t>
      </w:r>
      <w:r w:rsidRPr="001B1D60">
        <w:rPr>
          <w:rFonts w:ascii="微软雅黑" w:eastAsia="微软雅黑" w:hAnsi="微软雅黑" w:cs="宋体" w:hint="eastAsia"/>
          <w:color w:val="000000"/>
          <w:kern w:val="0"/>
          <w:sz w:val="24"/>
          <w:szCs w:val="24"/>
        </w:rPr>
        <w:t>本政策印发后，由区经信委会同财政局制定实施细则，严格申报程序、加强审核、公开公正。</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b/>
          <w:bCs/>
          <w:color w:val="000000"/>
          <w:kern w:val="0"/>
          <w:sz w:val="24"/>
          <w:szCs w:val="24"/>
        </w:rPr>
        <w:t>（十八）</w:t>
      </w:r>
      <w:r w:rsidRPr="001B1D60">
        <w:rPr>
          <w:rFonts w:ascii="微软雅黑" w:eastAsia="微软雅黑" w:hAnsi="微软雅黑" w:cs="宋体" w:hint="eastAsia"/>
          <w:color w:val="000000"/>
          <w:kern w:val="0"/>
          <w:sz w:val="24"/>
          <w:szCs w:val="24"/>
        </w:rPr>
        <w:t>企业已经获得国家、省和市支持同一项目，不重复奖励。本政策中的项目如与其他奖励办法中的项目相同的，企业不重复享受奖补政策。</w:t>
      </w:r>
    </w:p>
    <w:p w:rsidR="001B1D60" w:rsidRPr="001B1D60" w:rsidRDefault="001B1D60" w:rsidP="001B1D60">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B1D60">
        <w:rPr>
          <w:rFonts w:ascii="微软雅黑" w:eastAsia="微软雅黑" w:hAnsi="微软雅黑" w:cs="宋体" w:hint="eastAsia"/>
          <w:color w:val="000000"/>
          <w:kern w:val="0"/>
          <w:sz w:val="24"/>
          <w:szCs w:val="24"/>
        </w:rPr>
        <w:t>本政策自2017年1月1日起施行，有效期三年。</w:t>
      </w:r>
    </w:p>
    <w:p w:rsidR="009C6E41" w:rsidRDefault="009C6E41">
      <w:bookmarkStart w:id="0" w:name="_GoBack"/>
      <w:bookmarkEnd w:id="0"/>
    </w:p>
    <w:sectPr w:rsidR="009C6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EC"/>
    <w:rsid w:val="001B1D60"/>
    <w:rsid w:val="003261EC"/>
    <w:rsid w:val="009C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4A40-C16F-46E7-B55B-3DEFB47E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B1D6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B1D60"/>
    <w:rPr>
      <w:rFonts w:ascii="宋体" w:eastAsia="宋体" w:hAnsi="宋体" w:cs="宋体"/>
      <w:b/>
      <w:bCs/>
      <w:kern w:val="36"/>
      <w:sz w:val="48"/>
      <w:szCs w:val="48"/>
    </w:rPr>
  </w:style>
  <w:style w:type="paragraph" w:styleId="a3">
    <w:name w:val="Normal (Web)"/>
    <w:basedOn w:val="a"/>
    <w:uiPriority w:val="99"/>
    <w:semiHidden/>
    <w:unhideWhenUsed/>
    <w:rsid w:val="001B1D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B1D60"/>
    <w:rPr>
      <w:b/>
      <w:bCs/>
    </w:rPr>
  </w:style>
  <w:style w:type="character" w:customStyle="1" w:styleId="apple-converted-space">
    <w:name w:val="apple-converted-space"/>
    <w:basedOn w:val="a0"/>
    <w:rsid w:val="001B1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88663">
      <w:bodyDiv w:val="1"/>
      <w:marLeft w:val="0"/>
      <w:marRight w:val="0"/>
      <w:marTop w:val="0"/>
      <w:marBottom w:val="0"/>
      <w:divBdr>
        <w:top w:val="none" w:sz="0" w:space="0" w:color="auto"/>
        <w:left w:val="none" w:sz="0" w:space="0" w:color="auto"/>
        <w:bottom w:val="none" w:sz="0" w:space="0" w:color="auto"/>
        <w:right w:val="none" w:sz="0" w:space="0" w:color="auto"/>
      </w:divBdr>
      <w:divsChild>
        <w:div w:id="1862939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2018-05-11T06:13:00Z</dcterms:created>
  <dcterms:modified xsi:type="dcterms:W3CDTF">2018-05-11T06:13:00Z</dcterms:modified>
</cp:coreProperties>
</file>