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DED" w:rsidRPr="00664DED" w:rsidRDefault="00664DED" w:rsidP="00664DED">
      <w:pPr>
        <w:widowControl/>
        <w:shd w:val="clear" w:color="auto" w:fill="FFFFFF"/>
        <w:spacing w:line="600" w:lineRule="atLeast"/>
        <w:jc w:val="center"/>
        <w:rPr>
          <w:rFonts w:ascii="宋体" w:eastAsia="宋体" w:hAnsi="宋体" w:cs="宋体"/>
          <w:color w:val="555555"/>
          <w:kern w:val="0"/>
          <w:sz w:val="18"/>
          <w:szCs w:val="18"/>
        </w:rPr>
      </w:pPr>
      <w:r w:rsidRPr="00664DED">
        <w:rPr>
          <w:rFonts w:ascii="方正小标宋_GBK" w:eastAsia="方正小标宋_GBK" w:hAnsi="Times New Roman" w:cs="Times New Roman"/>
          <w:color w:val="000000"/>
          <w:kern w:val="0"/>
          <w:sz w:val="44"/>
          <w:szCs w:val="44"/>
        </w:rPr>
        <w:t>肇庆市端州区人民政府关于印发</w:t>
      </w:r>
    </w:p>
    <w:p w:rsidR="00664DED" w:rsidRPr="00664DED" w:rsidRDefault="00664DED" w:rsidP="00664DED">
      <w:pPr>
        <w:widowControl/>
        <w:shd w:val="clear" w:color="auto" w:fill="FFFFFF"/>
        <w:spacing w:line="600" w:lineRule="atLeast"/>
        <w:jc w:val="center"/>
        <w:rPr>
          <w:rFonts w:ascii="宋体" w:eastAsia="宋体" w:hAnsi="宋体" w:cs="宋体" w:hint="eastAsia"/>
          <w:color w:val="555555"/>
          <w:kern w:val="0"/>
          <w:sz w:val="18"/>
          <w:szCs w:val="18"/>
        </w:rPr>
      </w:pPr>
      <w:r w:rsidRPr="00664DED">
        <w:rPr>
          <w:rFonts w:ascii="方正小标宋_GBK" w:eastAsia="方正小标宋_GBK" w:hAnsi="宋体" w:cs="宋体" w:hint="eastAsia"/>
          <w:color w:val="000000"/>
          <w:kern w:val="0"/>
          <w:sz w:val="44"/>
          <w:szCs w:val="44"/>
        </w:rPr>
        <w:t>《</w:t>
      </w:r>
      <w:r w:rsidRPr="00664DED">
        <w:rPr>
          <w:rFonts w:ascii="方正小标宋_GBK" w:eastAsia="方正小标宋_GBK" w:hAnsi="Times New Roman" w:cs="Times New Roman"/>
          <w:color w:val="555555"/>
          <w:kern w:val="0"/>
          <w:sz w:val="44"/>
          <w:szCs w:val="44"/>
        </w:rPr>
        <w:t>端州区关于鼓励企业申请专利实行申请费</w:t>
      </w:r>
    </w:p>
    <w:p w:rsidR="00664DED" w:rsidRPr="00664DED" w:rsidRDefault="00664DED" w:rsidP="00664DED">
      <w:pPr>
        <w:widowControl/>
        <w:shd w:val="clear" w:color="auto" w:fill="FFFFFF"/>
        <w:spacing w:line="600" w:lineRule="atLeast"/>
        <w:jc w:val="center"/>
        <w:rPr>
          <w:rFonts w:ascii="宋体" w:eastAsia="宋体" w:hAnsi="宋体" w:cs="宋体" w:hint="eastAsia"/>
          <w:color w:val="555555"/>
          <w:kern w:val="0"/>
          <w:sz w:val="18"/>
          <w:szCs w:val="18"/>
        </w:rPr>
      </w:pPr>
      <w:r w:rsidRPr="00664DED">
        <w:rPr>
          <w:rFonts w:ascii="方正小标宋_GBK" w:eastAsia="方正小标宋_GBK" w:hAnsi="Times New Roman" w:cs="Times New Roman"/>
          <w:color w:val="555555"/>
          <w:kern w:val="0"/>
          <w:sz w:val="44"/>
          <w:szCs w:val="44"/>
        </w:rPr>
        <w:t>资助的试行办法</w:t>
      </w:r>
      <w:r w:rsidRPr="00664DED">
        <w:rPr>
          <w:rFonts w:ascii="方正小标宋_GBK" w:eastAsia="方正小标宋_GBK" w:hAnsi="宋体" w:cs="宋体" w:hint="eastAsia"/>
          <w:color w:val="000000"/>
          <w:kern w:val="0"/>
          <w:sz w:val="44"/>
          <w:szCs w:val="44"/>
        </w:rPr>
        <w:t>》</w:t>
      </w:r>
      <w:r w:rsidRPr="00664DED">
        <w:rPr>
          <w:rFonts w:ascii="方正小标宋_GBK" w:eastAsia="方正小标宋_GBK" w:hAnsi="Times New Roman" w:cs="Times New Roman"/>
          <w:color w:val="000000"/>
          <w:kern w:val="0"/>
          <w:sz w:val="44"/>
          <w:szCs w:val="44"/>
        </w:rPr>
        <w:t>的通知</w:t>
      </w:r>
    </w:p>
    <w:p w:rsidR="00664DED" w:rsidRPr="00664DED" w:rsidRDefault="00664DED" w:rsidP="00664DED">
      <w:pPr>
        <w:widowControl/>
        <w:shd w:val="clear" w:color="auto" w:fill="FFFFFF"/>
        <w:spacing w:line="600" w:lineRule="atLeast"/>
        <w:jc w:val="center"/>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jc w:val="center"/>
        <w:rPr>
          <w:rFonts w:ascii="宋体" w:eastAsia="宋体" w:hAnsi="宋体" w:cs="宋体" w:hint="eastAsia"/>
          <w:color w:val="555555"/>
          <w:kern w:val="0"/>
          <w:sz w:val="18"/>
          <w:szCs w:val="18"/>
        </w:rPr>
      </w:pPr>
      <w:r w:rsidRPr="00664DED">
        <w:rPr>
          <w:rFonts w:ascii="仿宋_GB2312" w:eastAsia="仿宋_GB2312" w:hAnsi="Times New Roman" w:cs="Times New Roman"/>
          <w:color w:val="555555"/>
          <w:kern w:val="0"/>
          <w:sz w:val="32"/>
          <w:szCs w:val="32"/>
        </w:rPr>
        <w:t>端府</w:t>
      </w:r>
      <w:r w:rsidRPr="00664DED">
        <w:rPr>
          <w:rFonts w:ascii="仿宋_GB2312" w:eastAsia="仿宋_GB2312" w:hAnsi="宋体" w:cs="宋体" w:hint="eastAsia"/>
          <w:color w:val="555555"/>
          <w:kern w:val="0"/>
          <w:sz w:val="32"/>
          <w:szCs w:val="32"/>
        </w:rPr>
        <w:t>规</w:t>
      </w:r>
      <w:r w:rsidRPr="00664DED">
        <w:rPr>
          <w:rFonts w:ascii="仿宋_GB2312" w:eastAsia="仿宋_GB2312" w:hAnsi="Times New Roman" w:cs="Times New Roman"/>
          <w:color w:val="555555"/>
          <w:kern w:val="0"/>
          <w:sz w:val="32"/>
          <w:szCs w:val="32"/>
        </w:rPr>
        <w:t>〔</w:t>
      </w:r>
      <w:r w:rsidRPr="00664DED">
        <w:rPr>
          <w:rFonts w:ascii="Times New Roman" w:eastAsia="宋体" w:hAnsi="Times New Roman" w:cs="Times New Roman"/>
          <w:color w:val="555555"/>
          <w:kern w:val="0"/>
          <w:sz w:val="32"/>
          <w:szCs w:val="32"/>
        </w:rPr>
        <w:t>2018</w:t>
      </w:r>
      <w:r w:rsidRPr="00664DED">
        <w:rPr>
          <w:rFonts w:ascii="仿宋_GB2312" w:eastAsia="仿宋_GB2312" w:hAnsi="Times New Roman" w:cs="Times New Roman"/>
          <w:color w:val="555555"/>
          <w:kern w:val="0"/>
          <w:sz w:val="32"/>
          <w:szCs w:val="32"/>
        </w:rPr>
        <w:t>〕</w:t>
      </w:r>
      <w:r w:rsidRPr="00664DED">
        <w:rPr>
          <w:rFonts w:ascii="仿宋_GB2312" w:eastAsia="仿宋_GB2312" w:hAnsi="宋体" w:cs="宋体" w:hint="eastAsia"/>
          <w:color w:val="555555"/>
          <w:kern w:val="0"/>
          <w:sz w:val="32"/>
          <w:szCs w:val="32"/>
        </w:rPr>
        <w:t>1</w:t>
      </w:r>
      <w:r w:rsidRPr="00664DED">
        <w:rPr>
          <w:rFonts w:ascii="仿宋_GB2312" w:eastAsia="仿宋_GB2312" w:hAnsi="Times New Roman" w:cs="Times New Roman"/>
          <w:color w:val="555555"/>
          <w:kern w:val="0"/>
          <w:sz w:val="32"/>
          <w:szCs w:val="32"/>
        </w:rPr>
        <w:t>号</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仿宋_GB2312" w:eastAsia="仿宋_GB2312" w:hAnsi="宋体" w:cs="宋体" w:hint="eastAsia"/>
          <w:color w:val="555555"/>
          <w:kern w:val="0"/>
          <w:sz w:val="32"/>
          <w:szCs w:val="32"/>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仿宋_GB2312" w:eastAsia="仿宋_GB2312" w:hAnsi="宋体" w:cs="宋体" w:hint="eastAsia"/>
          <w:color w:val="555555"/>
          <w:kern w:val="0"/>
          <w:sz w:val="32"/>
          <w:szCs w:val="32"/>
        </w:rPr>
        <w:t>各街道办事处，</w:t>
      </w:r>
      <w:r w:rsidRPr="00664DED">
        <w:rPr>
          <w:rFonts w:ascii="仿宋_GB2312" w:eastAsia="仿宋_GB2312" w:hAnsi="Times New Roman" w:cs="Times New Roman"/>
          <w:color w:val="555555"/>
          <w:kern w:val="0"/>
          <w:sz w:val="32"/>
          <w:szCs w:val="32"/>
        </w:rPr>
        <w:t>区属及驻区有关单位：</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经区委、区政府同意，现将《端州区关于鼓励企业申请专利实行申请费资助的试行办法》印发给你们，请认真贯彻执行。</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肇庆市端州区人民政府</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2018</w:t>
      </w:r>
      <w:r w:rsidRPr="00664DED">
        <w:rPr>
          <w:rFonts w:ascii="仿宋_GB2312" w:eastAsia="仿宋_GB2312" w:hAnsi="Times New Roman" w:cs="Times New Roman"/>
          <w:color w:val="555555"/>
          <w:kern w:val="0"/>
          <w:sz w:val="32"/>
          <w:szCs w:val="32"/>
        </w:rPr>
        <w:t>年</w:t>
      </w:r>
      <w:r w:rsidRPr="00664DED">
        <w:rPr>
          <w:rFonts w:ascii="Times New Roman" w:eastAsia="宋体" w:hAnsi="Times New Roman" w:cs="Times New Roman"/>
          <w:color w:val="555555"/>
          <w:kern w:val="0"/>
          <w:sz w:val="32"/>
          <w:szCs w:val="32"/>
        </w:rPr>
        <w:t>4</w:t>
      </w:r>
      <w:r w:rsidRPr="00664DED">
        <w:rPr>
          <w:rFonts w:ascii="仿宋_GB2312" w:eastAsia="仿宋_GB2312" w:hAnsi="Times New Roman" w:cs="Times New Roman"/>
          <w:color w:val="555555"/>
          <w:kern w:val="0"/>
          <w:sz w:val="32"/>
          <w:szCs w:val="32"/>
        </w:rPr>
        <w:t>月</w:t>
      </w:r>
      <w:r w:rsidRPr="00664DED">
        <w:rPr>
          <w:rFonts w:ascii="Times New Roman" w:eastAsia="宋体" w:hAnsi="Times New Roman" w:cs="Times New Roman"/>
          <w:color w:val="555555"/>
          <w:kern w:val="0"/>
          <w:sz w:val="32"/>
          <w:szCs w:val="32"/>
        </w:rPr>
        <w:t>10</w:t>
      </w:r>
      <w:r w:rsidRPr="00664DED">
        <w:rPr>
          <w:rFonts w:ascii="仿宋_GB2312" w:eastAsia="仿宋_GB2312" w:hAnsi="Times New Roman" w:cs="Times New Roman"/>
          <w:color w:val="555555"/>
          <w:kern w:val="0"/>
          <w:sz w:val="32"/>
          <w:szCs w:val="32"/>
        </w:rPr>
        <w:t>日</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p>
    <w:p w:rsidR="00664DED" w:rsidRPr="00664DED" w:rsidRDefault="00664DED" w:rsidP="00664DED">
      <w:pPr>
        <w:widowControl/>
        <w:shd w:val="clear" w:color="auto" w:fill="FFFFFF"/>
        <w:spacing w:line="600" w:lineRule="atLeast"/>
        <w:jc w:val="center"/>
        <w:rPr>
          <w:rFonts w:ascii="宋体" w:eastAsia="宋体" w:hAnsi="宋体" w:cs="宋体" w:hint="eastAsia"/>
          <w:color w:val="555555"/>
          <w:kern w:val="0"/>
          <w:sz w:val="18"/>
          <w:szCs w:val="18"/>
        </w:rPr>
      </w:pPr>
      <w:r w:rsidRPr="00664DED">
        <w:rPr>
          <w:rFonts w:ascii="方正小标宋_GBK" w:eastAsia="方正小标宋_GBK" w:hAnsi="Times New Roman" w:cs="Times New Roman"/>
          <w:color w:val="555555"/>
          <w:kern w:val="0"/>
          <w:sz w:val="44"/>
          <w:szCs w:val="44"/>
        </w:rPr>
        <w:lastRenderedPageBreak/>
        <w:t>端州区关于鼓励企业申请专利</w:t>
      </w:r>
    </w:p>
    <w:p w:rsidR="00664DED" w:rsidRPr="00664DED" w:rsidRDefault="00664DED" w:rsidP="00664DED">
      <w:pPr>
        <w:widowControl/>
        <w:shd w:val="clear" w:color="auto" w:fill="FFFFFF"/>
        <w:spacing w:line="600" w:lineRule="atLeast"/>
        <w:jc w:val="center"/>
        <w:rPr>
          <w:rFonts w:ascii="宋体" w:eastAsia="宋体" w:hAnsi="宋体" w:cs="宋体" w:hint="eastAsia"/>
          <w:color w:val="555555"/>
          <w:kern w:val="0"/>
          <w:sz w:val="18"/>
          <w:szCs w:val="18"/>
        </w:rPr>
      </w:pPr>
      <w:r w:rsidRPr="00664DED">
        <w:rPr>
          <w:rFonts w:ascii="方正小标宋_GBK" w:eastAsia="方正小标宋_GBK" w:hAnsi="Times New Roman" w:cs="Times New Roman"/>
          <w:color w:val="555555"/>
          <w:kern w:val="0"/>
          <w:sz w:val="44"/>
          <w:szCs w:val="44"/>
        </w:rPr>
        <w:t>实行申请费资助的试行办法</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b/>
          <w:bCs/>
          <w:color w:val="555555"/>
          <w:kern w:val="0"/>
          <w:sz w:val="36"/>
          <w:szCs w:val="36"/>
        </w:rPr>
        <w:t> </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28"/>
          <w:szCs w:val="28"/>
        </w:rPr>
        <w:t>   </w:t>
      </w:r>
      <w:r w:rsidRPr="00664DED">
        <w:rPr>
          <w:rFonts w:ascii="Times New Roman" w:eastAsia="宋体" w:hAnsi="Times New Roman" w:cs="Times New Roman"/>
          <w:color w:val="555555"/>
          <w:kern w:val="0"/>
          <w:sz w:val="32"/>
          <w:szCs w:val="32"/>
        </w:rPr>
        <w:t> </w:t>
      </w:r>
      <w:r w:rsidRPr="00664DED">
        <w:rPr>
          <w:rFonts w:ascii="黑体" w:eastAsia="黑体" w:hAnsi="黑体" w:cs="Times New Roman"/>
          <w:color w:val="555555"/>
          <w:kern w:val="0"/>
          <w:sz w:val="32"/>
          <w:szCs w:val="32"/>
        </w:rPr>
        <w:t>第一条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为贯彻落实《国家知识产权战略纲要》、《广东省知识产权战略纲要（</w:t>
      </w:r>
      <w:r w:rsidRPr="00664DED">
        <w:rPr>
          <w:rFonts w:ascii="Times New Roman" w:eastAsia="宋体" w:hAnsi="Times New Roman" w:cs="Times New Roman"/>
          <w:color w:val="555555"/>
          <w:kern w:val="0"/>
          <w:sz w:val="32"/>
          <w:szCs w:val="32"/>
        </w:rPr>
        <w:t>2007—2020</w:t>
      </w:r>
      <w:r w:rsidRPr="00664DED">
        <w:rPr>
          <w:rFonts w:ascii="仿宋_GB2312" w:eastAsia="仿宋_GB2312" w:hAnsi="Times New Roman" w:cs="Times New Roman"/>
          <w:color w:val="555555"/>
          <w:kern w:val="0"/>
          <w:sz w:val="32"/>
          <w:szCs w:val="32"/>
        </w:rPr>
        <w:t>年）》和《肇庆市知识产权战略纲要实施方案》，进一步贯彻执行《中华人民共和国专利法》和《广东省专利条例》，推进我区专利工作，加强对知识产权的管理、保护和运用，提高技术创新能力，促进我区科技进步和经济发展，结合我区实际，制定本办法。</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r w:rsidRPr="00664DED">
        <w:rPr>
          <w:rFonts w:ascii="黑体" w:eastAsia="黑体" w:hAnsi="黑体" w:cs="Times New Roman"/>
          <w:color w:val="555555"/>
          <w:kern w:val="0"/>
          <w:sz w:val="32"/>
          <w:szCs w:val="32"/>
        </w:rPr>
        <w:t>第二条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企业在新产品、新技术的开发，新材料、新工艺的研究，技术改造、引进技术的消化、吸收等工作中做出的发明创造，凡应该申请专利的，应及时申请，以取得法律保护。</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r w:rsidRPr="00664DED">
        <w:rPr>
          <w:rFonts w:ascii="黑体" w:eastAsia="黑体" w:hAnsi="黑体" w:cs="Times New Roman"/>
          <w:color w:val="555555"/>
          <w:kern w:val="0"/>
          <w:sz w:val="32"/>
          <w:szCs w:val="32"/>
        </w:rPr>
        <w:t>第三条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企业申请专利实行资助，是在对企业进一步加强宣传专利法和各种专利法规、方针政策的基础上，鼓励、扶持企业申请专利，进而使专利工作机制成为促进企业技术创新的一个主要动力机制和保护机制。</w:t>
      </w:r>
    </w:p>
    <w:p w:rsidR="00664DED" w:rsidRPr="00664DED" w:rsidRDefault="00664DED" w:rsidP="00664DED">
      <w:pPr>
        <w:widowControl/>
        <w:shd w:val="clear" w:color="auto" w:fill="FFFFFF"/>
        <w:spacing w:line="600" w:lineRule="atLeast"/>
        <w:ind w:firstLine="640"/>
        <w:rPr>
          <w:rFonts w:ascii="宋体" w:eastAsia="宋体" w:hAnsi="宋体" w:cs="宋体" w:hint="eastAsia"/>
          <w:color w:val="555555"/>
          <w:kern w:val="0"/>
          <w:sz w:val="18"/>
          <w:szCs w:val="18"/>
        </w:rPr>
      </w:pPr>
      <w:r w:rsidRPr="00664DED">
        <w:rPr>
          <w:rFonts w:ascii="黑体" w:eastAsia="黑体" w:hAnsi="黑体" w:cs="Times New Roman"/>
          <w:color w:val="555555"/>
          <w:kern w:val="0"/>
          <w:sz w:val="32"/>
          <w:szCs w:val="32"/>
        </w:rPr>
        <w:t>第四条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申请资助的专利技术应当符合《专利法》规定的新颖性、创造性、实用性，具有良好市场应用前景，符合我区的产业发展方向。列入各级政府计划的科技项目申请并获授权专利的，可优先获得资助</w:t>
      </w:r>
      <w:r w:rsidRPr="00664DED">
        <w:rPr>
          <w:rFonts w:ascii="仿宋_GB2312" w:eastAsia="仿宋_GB2312" w:hAnsi="宋体" w:cs="宋体" w:hint="eastAsia"/>
          <w:color w:val="555555"/>
          <w:kern w:val="0"/>
          <w:sz w:val="32"/>
          <w:szCs w:val="32"/>
        </w:rPr>
        <w:t>。</w:t>
      </w:r>
    </w:p>
    <w:p w:rsidR="00664DED" w:rsidRPr="00664DED" w:rsidRDefault="00664DED" w:rsidP="00664DED">
      <w:pPr>
        <w:widowControl/>
        <w:shd w:val="clear" w:color="auto" w:fill="FFFFFF"/>
        <w:spacing w:line="600" w:lineRule="atLeast"/>
        <w:ind w:firstLine="640"/>
        <w:rPr>
          <w:rFonts w:ascii="宋体" w:eastAsia="宋体" w:hAnsi="宋体" w:cs="宋体" w:hint="eastAsia"/>
          <w:color w:val="555555"/>
          <w:kern w:val="0"/>
          <w:sz w:val="18"/>
          <w:szCs w:val="18"/>
        </w:rPr>
      </w:pPr>
      <w:r w:rsidRPr="00664DED">
        <w:rPr>
          <w:rFonts w:ascii="黑体" w:eastAsia="黑体" w:hAnsi="黑体" w:cs="Times New Roman"/>
          <w:color w:val="555555"/>
          <w:kern w:val="0"/>
          <w:sz w:val="32"/>
          <w:szCs w:val="32"/>
        </w:rPr>
        <w:lastRenderedPageBreak/>
        <w:t>第五条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区经济和信息化局负责确定每个年度的资助计划并报政府审批同意，当年实现资助总费用控制在年度资助计划总额范围之内。</w:t>
      </w:r>
    </w:p>
    <w:p w:rsidR="00664DED" w:rsidRPr="00664DED" w:rsidRDefault="00664DED" w:rsidP="00664DED">
      <w:pPr>
        <w:widowControl/>
        <w:shd w:val="clear" w:color="auto" w:fill="FFFFFF"/>
        <w:spacing w:line="600" w:lineRule="atLeast"/>
        <w:rPr>
          <w:rFonts w:ascii="宋体" w:eastAsia="宋体" w:hAnsi="宋体" w:cs="宋体" w:hint="eastAsia"/>
          <w:color w:val="555555"/>
          <w:kern w:val="0"/>
          <w:sz w:val="18"/>
          <w:szCs w:val="18"/>
        </w:rPr>
      </w:pPr>
      <w:r w:rsidRPr="00664DED">
        <w:rPr>
          <w:rFonts w:ascii="Times New Roman" w:eastAsia="宋体" w:hAnsi="Times New Roman" w:cs="Times New Roman"/>
          <w:color w:val="555555"/>
          <w:kern w:val="0"/>
          <w:sz w:val="32"/>
          <w:szCs w:val="32"/>
        </w:rPr>
        <w:t>    </w:t>
      </w:r>
      <w:r w:rsidRPr="00664DED">
        <w:rPr>
          <w:rFonts w:ascii="黑体" w:eastAsia="黑体" w:hAnsi="黑体" w:cs="Times New Roman"/>
          <w:color w:val="555555"/>
          <w:kern w:val="0"/>
          <w:sz w:val="32"/>
          <w:szCs w:val="32"/>
        </w:rPr>
        <w:t>第六条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专利申请资助费实行无偿、一次性资助，受助项目为获得国内授权的发明专利或获得国内授权的实用新型专利，外观设计专利不列入资助范畴，着重支持发明专利。实用新型专利申请资助，应提供由国务院专利主管部门出具的专利权评价报告。</w:t>
      </w:r>
    </w:p>
    <w:p w:rsidR="00664DED" w:rsidRPr="00664DED" w:rsidRDefault="00664DED" w:rsidP="00664DED">
      <w:pPr>
        <w:widowControl/>
        <w:shd w:val="clear" w:color="auto" w:fill="FFFFFF"/>
        <w:spacing w:line="600" w:lineRule="atLeast"/>
        <w:ind w:firstLine="640"/>
        <w:rPr>
          <w:rFonts w:ascii="宋体" w:eastAsia="宋体" w:hAnsi="宋体" w:cs="宋体" w:hint="eastAsia"/>
          <w:color w:val="555555"/>
          <w:kern w:val="0"/>
          <w:sz w:val="18"/>
          <w:szCs w:val="18"/>
        </w:rPr>
      </w:pPr>
      <w:r w:rsidRPr="00664DED">
        <w:rPr>
          <w:rFonts w:ascii="黑体" w:eastAsia="黑体" w:hAnsi="黑体" w:cs="Times New Roman"/>
          <w:color w:val="555555"/>
          <w:kern w:val="0"/>
          <w:sz w:val="32"/>
          <w:szCs w:val="32"/>
        </w:rPr>
        <w:t>第七条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资助标准：申请并获授权的发明专利每件资助</w:t>
      </w:r>
      <w:r w:rsidRPr="00664DED">
        <w:rPr>
          <w:rFonts w:ascii="Times New Roman" w:eastAsia="宋体" w:hAnsi="Times New Roman" w:cs="Times New Roman"/>
          <w:color w:val="555555"/>
          <w:kern w:val="0"/>
          <w:sz w:val="32"/>
          <w:szCs w:val="32"/>
        </w:rPr>
        <w:t>3000-5000</w:t>
      </w:r>
      <w:r w:rsidRPr="00664DED">
        <w:rPr>
          <w:rFonts w:ascii="仿宋_GB2312" w:eastAsia="仿宋_GB2312" w:hAnsi="Times New Roman" w:cs="Times New Roman"/>
          <w:color w:val="555555"/>
          <w:kern w:val="0"/>
          <w:sz w:val="32"/>
          <w:szCs w:val="32"/>
        </w:rPr>
        <w:t>元，申请并获授权的实用新型专利每件资助</w:t>
      </w:r>
      <w:r w:rsidRPr="00664DED">
        <w:rPr>
          <w:rFonts w:ascii="Times New Roman" w:eastAsia="宋体" w:hAnsi="Times New Roman" w:cs="Times New Roman"/>
          <w:color w:val="555555"/>
          <w:kern w:val="0"/>
          <w:sz w:val="32"/>
          <w:szCs w:val="32"/>
        </w:rPr>
        <w:t>1000-2000</w:t>
      </w:r>
      <w:r w:rsidRPr="00664DED">
        <w:rPr>
          <w:rFonts w:ascii="仿宋_GB2312" w:eastAsia="仿宋_GB2312" w:hAnsi="Times New Roman" w:cs="Times New Roman"/>
          <w:color w:val="555555"/>
          <w:kern w:val="0"/>
          <w:sz w:val="32"/>
          <w:szCs w:val="32"/>
        </w:rPr>
        <w:t>元。具体资助金额根据当年实际情况，按照当年端州区科技计划项目申报指南拟定的标准执行。</w:t>
      </w:r>
    </w:p>
    <w:p w:rsidR="00664DED" w:rsidRPr="00664DED" w:rsidRDefault="00664DED" w:rsidP="00664DED">
      <w:pPr>
        <w:widowControl/>
        <w:shd w:val="clear" w:color="auto" w:fill="FFFFFF"/>
        <w:spacing w:line="600" w:lineRule="atLeast"/>
        <w:ind w:firstLine="640"/>
        <w:rPr>
          <w:rFonts w:ascii="宋体" w:eastAsia="宋体" w:hAnsi="宋体" w:cs="宋体" w:hint="eastAsia"/>
          <w:color w:val="555555"/>
          <w:kern w:val="0"/>
          <w:sz w:val="18"/>
          <w:szCs w:val="18"/>
        </w:rPr>
      </w:pPr>
      <w:r w:rsidRPr="00664DED">
        <w:rPr>
          <w:rFonts w:ascii="黑体" w:eastAsia="黑体" w:hAnsi="黑体" w:cs="Times New Roman"/>
          <w:color w:val="555555"/>
          <w:kern w:val="0"/>
          <w:sz w:val="32"/>
          <w:szCs w:val="32"/>
        </w:rPr>
        <w:t>第八条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企业每年申请专利资助须按区经济和信息化局要求提交所需材料。申请资助的企业提供的有关证明材料必须真实、合法、有效，如有弄虚作假行为，经查实，区经济和信息化局不受理其申请。已受资助的项目，经发现有虚假行为，资助的费用全额追回，并依法追究责任。</w:t>
      </w:r>
    </w:p>
    <w:p w:rsidR="00664DED" w:rsidRPr="00664DED" w:rsidRDefault="00664DED" w:rsidP="00664DED">
      <w:pPr>
        <w:widowControl/>
        <w:shd w:val="clear" w:color="auto" w:fill="FFFFFF"/>
        <w:spacing w:line="600" w:lineRule="atLeast"/>
        <w:ind w:firstLine="640"/>
        <w:rPr>
          <w:rFonts w:ascii="宋体" w:eastAsia="宋体" w:hAnsi="宋体" w:cs="宋体" w:hint="eastAsia"/>
          <w:color w:val="555555"/>
          <w:kern w:val="0"/>
          <w:sz w:val="18"/>
          <w:szCs w:val="18"/>
        </w:rPr>
      </w:pPr>
      <w:r w:rsidRPr="00664DED">
        <w:rPr>
          <w:rFonts w:ascii="黑体" w:eastAsia="黑体" w:hAnsi="黑体" w:cs="Times New Roman"/>
          <w:color w:val="555555"/>
          <w:kern w:val="0"/>
          <w:sz w:val="32"/>
          <w:szCs w:val="32"/>
        </w:rPr>
        <w:t>第九条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区经济和信息化局负责受理全区专利申请费资助申请受理、审核、发放工作。</w:t>
      </w:r>
    </w:p>
    <w:p w:rsidR="00664DED" w:rsidRPr="00664DED" w:rsidRDefault="00664DED" w:rsidP="00664DED">
      <w:pPr>
        <w:widowControl/>
        <w:shd w:val="clear" w:color="auto" w:fill="FFFFFF"/>
        <w:spacing w:line="600" w:lineRule="atLeast"/>
        <w:ind w:firstLine="640"/>
        <w:rPr>
          <w:rFonts w:ascii="宋体" w:eastAsia="宋体" w:hAnsi="宋体" w:cs="宋体" w:hint="eastAsia"/>
          <w:color w:val="555555"/>
          <w:kern w:val="0"/>
          <w:sz w:val="18"/>
          <w:szCs w:val="18"/>
        </w:rPr>
      </w:pPr>
      <w:r w:rsidRPr="00664DED">
        <w:rPr>
          <w:rFonts w:ascii="黑体" w:eastAsia="黑体" w:hAnsi="黑体" w:cs="Times New Roman"/>
          <w:color w:val="555555"/>
          <w:kern w:val="0"/>
          <w:sz w:val="32"/>
          <w:szCs w:val="32"/>
        </w:rPr>
        <w:t>第十条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本办法适用于端州区属企事业单位。</w:t>
      </w:r>
    </w:p>
    <w:p w:rsidR="00664DED" w:rsidRPr="00664DED" w:rsidRDefault="00664DED" w:rsidP="00664DED">
      <w:pPr>
        <w:widowControl/>
        <w:shd w:val="clear" w:color="auto" w:fill="FFFFFF"/>
        <w:spacing w:line="600" w:lineRule="atLeast"/>
        <w:ind w:firstLine="640"/>
        <w:rPr>
          <w:rFonts w:ascii="宋体" w:eastAsia="宋体" w:hAnsi="宋体" w:cs="宋体" w:hint="eastAsia"/>
          <w:color w:val="555555"/>
          <w:kern w:val="0"/>
          <w:sz w:val="18"/>
          <w:szCs w:val="18"/>
        </w:rPr>
      </w:pPr>
      <w:r w:rsidRPr="00664DED">
        <w:rPr>
          <w:rFonts w:ascii="黑体" w:eastAsia="黑体" w:hAnsi="黑体" w:cs="Times New Roman"/>
          <w:color w:val="555555"/>
          <w:kern w:val="0"/>
          <w:sz w:val="32"/>
          <w:szCs w:val="32"/>
        </w:rPr>
        <w:t>第十一条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本办法由区经济和信息化局负责解释。</w:t>
      </w:r>
    </w:p>
    <w:p w:rsidR="00664DED" w:rsidRPr="00664DED" w:rsidRDefault="00664DED" w:rsidP="00664DED">
      <w:pPr>
        <w:widowControl/>
        <w:shd w:val="clear" w:color="auto" w:fill="FFFFFF"/>
        <w:spacing w:line="600" w:lineRule="atLeast"/>
        <w:ind w:firstLine="640"/>
        <w:rPr>
          <w:rFonts w:ascii="宋体" w:eastAsia="宋体" w:hAnsi="宋体" w:cs="宋体" w:hint="eastAsia"/>
          <w:color w:val="555555"/>
          <w:kern w:val="0"/>
          <w:sz w:val="18"/>
          <w:szCs w:val="18"/>
        </w:rPr>
      </w:pPr>
      <w:r w:rsidRPr="00664DED">
        <w:rPr>
          <w:rFonts w:ascii="黑体" w:eastAsia="黑体" w:hAnsi="黑体" w:cs="Times New Roman"/>
          <w:color w:val="555555"/>
          <w:kern w:val="0"/>
          <w:sz w:val="32"/>
          <w:szCs w:val="32"/>
        </w:rPr>
        <w:lastRenderedPageBreak/>
        <w:t>第十二条</w:t>
      </w:r>
      <w:r w:rsidRPr="00664DED">
        <w:rPr>
          <w:rFonts w:ascii="Times New Roman" w:eastAsia="宋体" w:hAnsi="Times New Roman" w:cs="Times New Roman"/>
          <w:color w:val="555555"/>
          <w:kern w:val="0"/>
          <w:sz w:val="32"/>
          <w:szCs w:val="32"/>
        </w:rPr>
        <w:t> </w:t>
      </w:r>
      <w:r w:rsidRPr="00664DED">
        <w:rPr>
          <w:rFonts w:ascii="仿宋_GB2312" w:eastAsia="仿宋_GB2312" w:hAnsi="Times New Roman" w:cs="Times New Roman"/>
          <w:color w:val="555555"/>
          <w:kern w:val="0"/>
          <w:sz w:val="32"/>
          <w:szCs w:val="32"/>
        </w:rPr>
        <w:t>本办法自颁布之日起施行，有效期</w:t>
      </w:r>
      <w:r w:rsidRPr="00664DED">
        <w:rPr>
          <w:rFonts w:ascii="Times New Roman" w:eastAsia="宋体" w:hAnsi="Times New Roman" w:cs="Times New Roman"/>
          <w:color w:val="555555"/>
          <w:kern w:val="0"/>
          <w:sz w:val="32"/>
          <w:szCs w:val="32"/>
        </w:rPr>
        <w:t>3</w:t>
      </w:r>
      <w:r w:rsidRPr="00664DED">
        <w:rPr>
          <w:rFonts w:ascii="仿宋_GB2312" w:eastAsia="仿宋_GB2312" w:hAnsi="Times New Roman" w:cs="Times New Roman"/>
          <w:color w:val="555555"/>
          <w:kern w:val="0"/>
          <w:sz w:val="32"/>
          <w:szCs w:val="32"/>
        </w:rPr>
        <w:t>年。原《端州区关于鼓励企业申请专利实行申请费资助的试行办法》（端府〔</w:t>
      </w:r>
      <w:r w:rsidRPr="00664DED">
        <w:rPr>
          <w:rFonts w:ascii="Times New Roman" w:eastAsia="宋体" w:hAnsi="Times New Roman" w:cs="Times New Roman"/>
          <w:color w:val="555555"/>
          <w:kern w:val="0"/>
          <w:sz w:val="32"/>
          <w:szCs w:val="32"/>
        </w:rPr>
        <w:t>2015</w:t>
      </w:r>
      <w:r w:rsidRPr="00664DED">
        <w:rPr>
          <w:rFonts w:ascii="仿宋_GB2312" w:eastAsia="仿宋_GB2312" w:hAnsi="Times New Roman" w:cs="Times New Roman"/>
          <w:color w:val="555555"/>
          <w:kern w:val="0"/>
          <w:sz w:val="32"/>
          <w:szCs w:val="32"/>
        </w:rPr>
        <w:t>〕</w:t>
      </w:r>
      <w:r w:rsidRPr="00664DED">
        <w:rPr>
          <w:rFonts w:ascii="Times New Roman" w:eastAsia="宋体" w:hAnsi="Times New Roman" w:cs="Times New Roman"/>
          <w:color w:val="555555"/>
          <w:kern w:val="0"/>
          <w:sz w:val="32"/>
          <w:szCs w:val="32"/>
        </w:rPr>
        <w:t>4</w:t>
      </w:r>
      <w:r w:rsidRPr="00664DED">
        <w:rPr>
          <w:rFonts w:ascii="仿宋_GB2312" w:eastAsia="仿宋_GB2312" w:hAnsi="Times New Roman" w:cs="Times New Roman"/>
          <w:color w:val="555555"/>
          <w:kern w:val="0"/>
          <w:sz w:val="32"/>
          <w:szCs w:val="32"/>
        </w:rPr>
        <w:t>号）同时废止。</w:t>
      </w:r>
    </w:p>
    <w:p w:rsidR="001C5B64" w:rsidRDefault="001C5B64">
      <w:bookmarkStart w:id="0" w:name="_GoBack"/>
      <w:bookmarkEnd w:id="0"/>
    </w:p>
    <w:sectPr w:rsidR="001C5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ED"/>
    <w:rsid w:val="001C5B64"/>
    <w:rsid w:val="003B69ED"/>
    <w:rsid w:val="0066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C8840-08B6-4312-913B-BC1E5F29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1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Words>
  <Characters>1078</Characters>
  <Application>Microsoft Office Word</Application>
  <DocSecurity>0</DocSecurity>
  <Lines>8</Lines>
  <Paragraphs>2</Paragraphs>
  <ScaleCrop>false</ScaleCrop>
  <Company>微软中国</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2018-08-22T08:44:00Z</dcterms:created>
  <dcterms:modified xsi:type="dcterms:W3CDTF">2018-08-22T08:44:00Z</dcterms:modified>
</cp:coreProperties>
</file>