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8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bdr w:val="none" w:color="auto" w:sz="0" w:space="0"/>
        </w:rPr>
        <w:t>广元市科技成果产出转移转化新举措为创新发展“输血造液”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来源:广元市府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【字体：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"http://www.sc.gov.cn/10462/10464/10465/10595/2018/4/27/javascript:;" \o "大"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"http://www.sc.gov.cn/10462/10464/10465/10595/2018/4/27/javascript:;" \o "中"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 中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"http://www.sc.gov.cn/10462/10464/10465/10595/2018/4/27/javascript:;" \o "小"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 小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】</w:t>
      </w:r>
    </w:p>
    <w:tbl>
      <w:tblPr>
        <w:tblpPr w:vertAnchor="text" w:tblpXSpec="right"/>
        <w:tblW w:w="1118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分享到：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</w:instrText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\o "分享到微信"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\o "分享到QQ好友"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\o "分享到新浪微博"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\o "分享到QQ空间"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"http://www.sc.gov.cn/10462/10464/10465/10595/2018/4/27/10449832.shtml" \o "分享到腾讯微博"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85" w:beforeAutospacing="0" w:after="300" w:afterAutospacing="0" w:line="375" w:lineRule="atLeast"/>
        <w:ind w:left="300" w:right="30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⑴围绕链条前端抓供给。对企业牵头的创新平台，每年明确攻关课题、成果专利产出指标，并按评估情况予以后补助支持。对企业牵头实施的研发项目，设立成果产出、市场转化相关指标。力争今年实现专利申请量1600件，发明专利350件以上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⑵围绕链条中端抓成果转移。鼓励高校、科研院所专家、教授带智力成果、资金、项目到产业、企业、市场转移。采取设立科技创新券、加强资金支持等方式，按照技术转移中介服务机构工作开展情况予以引导鼓励，推动其开展技术转让等。年内拟引进中介服务机构3家，技术合同交易额力争实现2700万元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⑶围绕链条后端抓成果转化。对首次在我市落地转化产业化的技术成果且当年税收超500万元以上，按2%的比例给予最高不超过50万元的补助。对产业化效益明显，获得国、省的科学技术奖或专利奖的成果或专利权人均按等次最高给予100万元补助。2018年拟组织成果转化项目150项，实现成果转化产值160亿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CDEFC"/>
    <w:multiLevelType w:val="multilevel"/>
    <w:tmpl w:val="5B0CDE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1661"/>
    <w:rsid w:val="169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2018-05-29T04:03:00Z</dcterms:created>
  <dc:creator>be a lover</dc:creator>
  <cp:lastModifiedBy>be a lover</cp:lastModifiedBy>
  <dcterms:modified xsi:type="dcterms:W3CDTF">2018-05-29T04:03:43Z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