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0" w:afterAutospacing="0" w:line="350" w:lineRule="atLeast"/>
        <w:ind w:left="0" w:right="0"/>
        <w:jc w:val="center"/>
        <w:rPr>
          <w:rFonts w:ascii="微软雅黑" w:hAnsi="微软雅黑" w:eastAsia="微软雅黑" w:cs="微软雅黑"/>
          <w:b/>
          <w:i w:val="0"/>
          <w:color w:val="000000"/>
          <w:sz w:val="24"/>
          <w:szCs w:val="24"/>
        </w:rPr>
      </w:pPr>
      <w:r>
        <w:rPr>
          <w:rFonts w:hint="eastAsia" w:ascii="微软雅黑" w:hAnsi="微软雅黑" w:eastAsia="微软雅黑" w:cs="微软雅黑"/>
          <w:b/>
          <w:i w:val="0"/>
          <w:caps w:val="0"/>
          <w:color w:val="000000"/>
          <w:spacing w:val="0"/>
          <w:sz w:val="24"/>
          <w:szCs w:val="24"/>
          <w:lang w:val="en-US" w:eastAsia="zh-CN"/>
        </w:rPr>
        <w:t>关</w:t>
      </w:r>
      <w:r>
        <w:rPr>
          <w:rFonts w:hint="eastAsia" w:ascii="微软雅黑" w:hAnsi="微软雅黑" w:eastAsia="微软雅黑" w:cs="微软雅黑"/>
          <w:b/>
          <w:i w:val="0"/>
          <w:caps w:val="0"/>
          <w:color w:val="000000"/>
          <w:spacing w:val="0"/>
          <w:sz w:val="24"/>
          <w:szCs w:val="24"/>
        </w:rPr>
        <w:t>于大力推进大众创业万众创新若干政策措施的实施意见</w:t>
      </w:r>
    </w:p>
    <w:p>
      <w:pPr>
        <w:pStyle w:val="3"/>
        <w:keepNext w:val="0"/>
        <w:keepLines w:val="0"/>
        <w:widowControl/>
        <w:suppressLineNumbers w:val="0"/>
        <w:pBdr>
          <w:top w:val="none" w:color="auto" w:sz="0" w:space="0"/>
          <w:left w:val="none" w:color="auto" w:sz="0" w:space="0"/>
          <w:bottom w:val="single" w:color="CCCCCC" w:sz="4" w:space="0"/>
          <w:right w:val="none" w:color="auto" w:sz="0" w:space="0"/>
        </w:pBdr>
        <w:spacing w:before="0" w:beforeAutospacing="0" w:after="0" w:afterAutospacing="0" w:line="600" w:lineRule="atLeast"/>
        <w:ind w:left="0" w:right="0"/>
        <w:jc w:val="center"/>
      </w:pPr>
      <w:r>
        <w:rPr>
          <w:rFonts w:hint="eastAsia" w:ascii="宋体" w:hAnsi="宋体" w:eastAsia="宋体" w:cs="宋体"/>
          <w:i w:val="0"/>
          <w:caps w:val="0"/>
          <w:color w:val="616161"/>
          <w:spacing w:val="0"/>
          <w:sz w:val="12"/>
          <w:szCs w:val="12"/>
          <w:bdr w:val="none" w:color="auto" w:sz="0" w:space="0"/>
        </w:rPr>
        <w:t>日期：2015-09-11</w:t>
      </w:r>
      <w:r>
        <w:rPr>
          <w:rFonts w:hint="eastAsia" w:ascii="宋体" w:hAnsi="宋体" w:eastAsia="宋体" w:cs="宋体"/>
          <w:i w:val="0"/>
          <w:caps w:val="0"/>
          <w:color w:val="000000"/>
          <w:spacing w:val="0"/>
          <w:sz w:val="14"/>
          <w:szCs w:val="14"/>
          <w:bdr w:val="none" w:color="auto" w:sz="0" w:space="0"/>
        </w:rPr>
        <w:t> </w:t>
      </w:r>
      <w:r>
        <w:rPr>
          <w:rFonts w:hint="eastAsia" w:ascii="宋体" w:hAnsi="宋体" w:eastAsia="宋体" w:cs="宋体"/>
          <w:i w:val="0"/>
          <w:caps w:val="0"/>
          <w:color w:val="616161"/>
          <w:spacing w:val="0"/>
          <w:sz w:val="12"/>
          <w:szCs w:val="12"/>
          <w:bdr w:val="none" w:color="auto" w:sz="0" w:space="0"/>
        </w:rPr>
        <w:t>作者：admin</w:t>
      </w:r>
      <w:r>
        <w:rPr>
          <w:rFonts w:hint="eastAsia" w:ascii="宋体" w:hAnsi="宋体" w:eastAsia="宋体" w:cs="宋体"/>
          <w:i w:val="0"/>
          <w:caps w:val="0"/>
          <w:color w:val="000000"/>
          <w:spacing w:val="0"/>
          <w:sz w:val="14"/>
          <w:szCs w:val="14"/>
          <w:bdr w:val="none" w:color="auto" w:sz="0" w:space="0"/>
        </w:rPr>
        <w:t> </w:t>
      </w:r>
      <w:r>
        <w:rPr>
          <w:rFonts w:hint="eastAsia" w:ascii="宋体" w:hAnsi="宋体" w:eastAsia="宋体" w:cs="宋体"/>
          <w:i w:val="0"/>
          <w:caps w:val="0"/>
          <w:color w:val="616161"/>
          <w:spacing w:val="0"/>
          <w:sz w:val="12"/>
          <w:szCs w:val="12"/>
          <w:bdr w:val="none" w:color="auto" w:sz="0" w:space="0"/>
        </w:rPr>
        <w:t>字号：[</w:t>
      </w:r>
      <w:r>
        <w:rPr>
          <w:rFonts w:hint="eastAsia" w:ascii="宋体" w:hAnsi="宋体" w:eastAsia="宋体" w:cs="宋体"/>
          <w:i w:val="0"/>
          <w:caps w:val="0"/>
          <w:color w:val="232323"/>
          <w:spacing w:val="0"/>
          <w:sz w:val="18"/>
          <w:szCs w:val="18"/>
          <w:u w:val="none"/>
          <w:bdr w:val="none" w:color="auto" w:sz="0" w:space="0"/>
        </w:rPr>
        <w:fldChar w:fldCharType="begin"/>
      </w:r>
      <w:r>
        <w:rPr>
          <w:rFonts w:hint="eastAsia" w:ascii="宋体" w:hAnsi="宋体" w:eastAsia="宋体" w:cs="宋体"/>
          <w:i w:val="0"/>
          <w:caps w:val="0"/>
          <w:color w:val="232323"/>
          <w:spacing w:val="0"/>
          <w:sz w:val="18"/>
          <w:szCs w:val="18"/>
          <w:u w:val="none"/>
          <w:bdr w:val="none" w:color="auto" w:sz="0" w:space="0"/>
        </w:rPr>
        <w:instrText xml:space="preserve"> HYPERLINK "http://www.afx.gov.cn/xxgk/zcwj/201601/javascript:void(0); return false;" </w:instrText>
      </w:r>
      <w:r>
        <w:rPr>
          <w:rFonts w:hint="eastAsia" w:ascii="宋体" w:hAnsi="宋体" w:eastAsia="宋体" w:cs="宋体"/>
          <w:i w:val="0"/>
          <w:caps w:val="0"/>
          <w:color w:val="232323"/>
          <w:spacing w:val="0"/>
          <w:sz w:val="18"/>
          <w:szCs w:val="18"/>
          <w:u w:val="none"/>
          <w:bdr w:val="none" w:color="auto" w:sz="0" w:space="0"/>
        </w:rPr>
        <w:fldChar w:fldCharType="separate"/>
      </w:r>
      <w:r>
        <w:rPr>
          <w:rStyle w:val="5"/>
          <w:rFonts w:hint="eastAsia" w:ascii="宋体" w:hAnsi="宋体" w:eastAsia="宋体" w:cs="宋体"/>
          <w:i w:val="0"/>
          <w:caps w:val="0"/>
          <w:color w:val="232323"/>
          <w:spacing w:val="0"/>
          <w:sz w:val="18"/>
          <w:szCs w:val="18"/>
          <w:u w:val="none"/>
          <w:bdr w:val="none" w:color="auto" w:sz="0" w:space="0"/>
        </w:rPr>
        <w:t>大</w:t>
      </w:r>
      <w:r>
        <w:rPr>
          <w:rFonts w:hint="eastAsia" w:ascii="宋体" w:hAnsi="宋体" w:eastAsia="宋体" w:cs="宋体"/>
          <w:i w:val="0"/>
          <w:caps w:val="0"/>
          <w:color w:val="232323"/>
          <w:spacing w:val="0"/>
          <w:sz w:val="18"/>
          <w:szCs w:val="18"/>
          <w:u w:val="none"/>
          <w:bdr w:val="none" w:color="auto" w:sz="0" w:space="0"/>
        </w:rPr>
        <w:fldChar w:fldCharType="end"/>
      </w:r>
      <w:r>
        <w:rPr>
          <w:rFonts w:hint="eastAsia" w:ascii="宋体" w:hAnsi="宋体" w:eastAsia="宋体" w:cs="宋体"/>
          <w:i w:val="0"/>
          <w:caps w:val="0"/>
          <w:color w:val="FF0000"/>
          <w:spacing w:val="0"/>
          <w:sz w:val="16"/>
          <w:szCs w:val="16"/>
          <w:u w:val="single"/>
          <w:bdr w:val="none" w:color="auto" w:sz="0" w:space="0"/>
        </w:rPr>
        <w:fldChar w:fldCharType="begin"/>
      </w:r>
      <w:r>
        <w:rPr>
          <w:rFonts w:hint="eastAsia" w:ascii="宋体" w:hAnsi="宋体" w:eastAsia="宋体" w:cs="宋体"/>
          <w:i w:val="0"/>
          <w:caps w:val="0"/>
          <w:color w:val="FF0000"/>
          <w:spacing w:val="0"/>
          <w:sz w:val="16"/>
          <w:szCs w:val="16"/>
          <w:u w:val="single"/>
          <w:bdr w:val="none" w:color="auto" w:sz="0" w:space="0"/>
        </w:rPr>
        <w:instrText xml:space="preserve"> HYPERLINK "http://www.afx.gov.cn/xxgk/zcwj/201601/javascript:void(0);return false;" </w:instrText>
      </w:r>
      <w:r>
        <w:rPr>
          <w:rFonts w:hint="eastAsia" w:ascii="宋体" w:hAnsi="宋体" w:eastAsia="宋体" w:cs="宋体"/>
          <w:i w:val="0"/>
          <w:caps w:val="0"/>
          <w:color w:val="FF0000"/>
          <w:spacing w:val="0"/>
          <w:sz w:val="16"/>
          <w:szCs w:val="16"/>
          <w:u w:val="single"/>
          <w:bdr w:val="none" w:color="auto" w:sz="0" w:space="0"/>
        </w:rPr>
        <w:fldChar w:fldCharType="separate"/>
      </w:r>
      <w:r>
        <w:rPr>
          <w:rStyle w:val="5"/>
          <w:rFonts w:hint="eastAsia" w:ascii="宋体" w:hAnsi="宋体" w:eastAsia="宋体" w:cs="宋体"/>
          <w:i w:val="0"/>
          <w:caps w:val="0"/>
          <w:color w:val="FF0000"/>
          <w:spacing w:val="0"/>
          <w:sz w:val="16"/>
          <w:szCs w:val="16"/>
          <w:u w:val="single"/>
          <w:bdr w:val="none" w:color="auto" w:sz="0" w:space="0"/>
        </w:rPr>
        <w:t>中</w:t>
      </w:r>
      <w:r>
        <w:rPr>
          <w:rFonts w:hint="eastAsia" w:ascii="宋体" w:hAnsi="宋体" w:eastAsia="宋体" w:cs="宋体"/>
          <w:i w:val="0"/>
          <w:caps w:val="0"/>
          <w:color w:val="FF0000"/>
          <w:spacing w:val="0"/>
          <w:sz w:val="16"/>
          <w:szCs w:val="16"/>
          <w:u w:val="single"/>
          <w:bdr w:val="none" w:color="auto" w:sz="0" w:space="0"/>
        </w:rPr>
        <w:fldChar w:fldCharType="end"/>
      </w:r>
      <w:r>
        <w:rPr>
          <w:rFonts w:hint="eastAsia" w:ascii="宋体" w:hAnsi="宋体" w:eastAsia="宋体" w:cs="宋体"/>
          <w:i w:val="0"/>
          <w:caps w:val="0"/>
          <w:color w:val="232323"/>
          <w:spacing w:val="0"/>
          <w:sz w:val="14"/>
          <w:szCs w:val="14"/>
          <w:u w:val="none"/>
          <w:bdr w:val="none" w:color="auto" w:sz="0" w:space="0"/>
        </w:rPr>
        <w:fldChar w:fldCharType="begin"/>
      </w:r>
      <w:r>
        <w:rPr>
          <w:rFonts w:hint="eastAsia" w:ascii="宋体" w:hAnsi="宋体" w:eastAsia="宋体" w:cs="宋体"/>
          <w:i w:val="0"/>
          <w:caps w:val="0"/>
          <w:color w:val="232323"/>
          <w:spacing w:val="0"/>
          <w:sz w:val="14"/>
          <w:szCs w:val="14"/>
          <w:u w:val="none"/>
          <w:bdr w:val="none" w:color="auto" w:sz="0" w:space="0"/>
        </w:rPr>
        <w:instrText xml:space="preserve"> HYPERLINK "http://www.afx.gov.cn/xxgk/zcwj/201601/javascript:void(0); return false;" </w:instrText>
      </w:r>
      <w:r>
        <w:rPr>
          <w:rFonts w:hint="eastAsia" w:ascii="宋体" w:hAnsi="宋体" w:eastAsia="宋体" w:cs="宋体"/>
          <w:i w:val="0"/>
          <w:caps w:val="0"/>
          <w:color w:val="232323"/>
          <w:spacing w:val="0"/>
          <w:sz w:val="14"/>
          <w:szCs w:val="14"/>
          <w:u w:val="none"/>
          <w:bdr w:val="none" w:color="auto" w:sz="0" w:space="0"/>
        </w:rPr>
        <w:fldChar w:fldCharType="separate"/>
      </w:r>
      <w:r>
        <w:rPr>
          <w:rStyle w:val="5"/>
          <w:rFonts w:hint="eastAsia" w:ascii="宋体" w:hAnsi="宋体" w:eastAsia="宋体" w:cs="宋体"/>
          <w:i w:val="0"/>
          <w:caps w:val="0"/>
          <w:color w:val="232323"/>
          <w:spacing w:val="0"/>
          <w:sz w:val="14"/>
          <w:szCs w:val="14"/>
          <w:u w:val="none"/>
          <w:bdr w:val="none" w:color="auto" w:sz="0" w:space="0"/>
        </w:rPr>
        <w:t>小</w:t>
      </w:r>
      <w:r>
        <w:rPr>
          <w:rFonts w:hint="eastAsia" w:ascii="宋体" w:hAnsi="宋体" w:eastAsia="宋体" w:cs="宋体"/>
          <w:i w:val="0"/>
          <w:caps w:val="0"/>
          <w:color w:val="232323"/>
          <w:spacing w:val="0"/>
          <w:sz w:val="14"/>
          <w:szCs w:val="14"/>
          <w:u w:val="none"/>
          <w:bdr w:val="none" w:color="auto" w:sz="0" w:space="0"/>
        </w:rPr>
        <w:fldChar w:fldCharType="end"/>
      </w:r>
      <w:r>
        <w:rPr>
          <w:rFonts w:hint="eastAsia" w:ascii="宋体" w:hAnsi="宋体" w:eastAsia="宋体" w:cs="宋体"/>
          <w:i w:val="0"/>
          <w:caps w:val="0"/>
          <w:color w:val="616161"/>
          <w:spacing w:val="0"/>
          <w:sz w:val="12"/>
          <w:szCs w:val="12"/>
          <w:bdr w:val="none" w:color="auto" w:sz="0" w:space="0"/>
        </w:rPr>
        <w:t>]</w:t>
      </w:r>
    </w:p>
    <w:p>
      <w:pPr>
        <w:keepNext w:val="0"/>
        <w:keepLines w:val="0"/>
        <w:widowControl/>
        <w:suppressLineNumbers w:val="0"/>
        <w:pBdr>
          <w:bottom w:val="none" w:color="auto" w:sz="0" w:space="0"/>
        </w:pBdr>
        <w:ind w:left="0" w:firstLine="0"/>
        <w:jc w:val="left"/>
        <w:rPr>
          <w:rFonts w:hint="eastAsia" w:ascii="宋体" w:hAnsi="宋体" w:eastAsia="宋体" w:cs="宋体"/>
          <w:i w:val="0"/>
          <w:caps w:val="0"/>
          <w:color w:val="000000"/>
          <w:spacing w:val="0"/>
          <w:sz w:val="14"/>
          <w:szCs w:val="14"/>
        </w:rPr>
      </w:pPr>
      <w:r>
        <w:rPr>
          <w:rFonts w:hint="eastAsia" w:ascii="宋体" w:hAnsi="宋体" w:eastAsia="宋体" w:cs="宋体"/>
          <w:i w:val="0"/>
          <w:caps w:val="0"/>
          <w:color w:val="616161"/>
          <w:spacing w:val="0"/>
          <w:kern w:val="0"/>
          <w:sz w:val="12"/>
          <w:szCs w:val="12"/>
          <w:bdr w:val="none" w:color="auto" w:sz="0" w:space="0"/>
          <w:lang w:val="en-US" w:eastAsia="zh-CN" w:bidi="ar"/>
        </w:rPr>
        <w:t>分享到：</w: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"http://www.afx.gov.cn/xxgk/zcwj/201601/t20160111_563731.htm" \o "分享到新浪微博"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"http://www.afx.gov.cn/xxgk/zcwj/201601/t20160111_563731.htm" \o "分享到腾讯微博"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"http://www.afx.gov.cn/xxgk/zcwj/201601/t20160111_563731.htm" \o "分享到微信"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各乡镇人民政府，县直有关单位：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为进一步优化创业创新环境，激发全社会创业创新活力，以创业带动就业、以创新促进发展，根据《江西省人民政府关于大力推进大众创业万众创新若干政策措施的实施意见》(赣府发〔2015〕36号)精神，结合我县实际，现提出以下实施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一、降低准入门槛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营造宽松便捷的准入环境。加大简政放权、放管结合、优化服务等改革力度，消除对市场主体不合理的束缚和羁绊，在工商登记过程中，除目前保留的34项前置许可项目外，其他行业一律实行“先照后证”，同时加强企业事中事后监管，加快企业监管警示系统建设，逐步建立企业自治、行业自律、政府监管、社会监督的立体监督体系。落实注册资本登记制度改革，注册资本实缴制改为认缴制。放宽新注册企业场所登记条件限制，积极推动“一址多照”、“集群注册”等住所改革，放宽场所的合法使用证明。申请人提供的房屋产权证、竣工验收证明、购房合同、租赁协议、占道经营许可证、工业园区管委会厂房证明等均可作为经营场所的有效证明。允许多家电子商务企业(含个体工商户)将地址登记为其托管公司的住所，组成企业集群。进一步简化工作流程，对申请材料齐全并符合法定形式的，在三个工作日内向申请人发换载有组织机构代码证、税务登记证和营业执照号的“三证合一”营业执照，并在2015年10月1日起启动“一照一码”营业执照。建设“创业咨询一点通”服务平台。依托企业信用信息公示系统建立小微企业名录，增强创业企业信息透明度。(县市场监督管理局牵头，县发改委、县人社局、县审改办、县国税局、县地税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维护公平竞争市场秩序。进一步转变政府职能，增加公共产品和服务供给，为创业者提供更多机会。逐步清理并废除妨碍创业发展的制度和规定，打破地方保护主义。建立统一透明、有序规范的市场环境。依照《反垄断法》、《反不正当竞争法》的有关规定，严肃查处损害竞争、损害消费者权益以及妨碍创新和技术进步的垄断协议、滥用市场支配地位行为;加大经营者集中反垄断审查力度，有效防范通过并购获取垄断地位损害市场竞争的行为;改革自然垄断行业监管办法，强化垄断环节监管。严厉查处仿冒名牌、虚假宣传、商业贿赂、违法有奖销售、商业诋毁、销售无合法进口证明商品等不正当竞争行为;依法保护各类知识产权，鼓励技术创新，打击侵犯知识产权和制售假冒伪劣商品的行为。把创业主体信用与市场准入、享受优惠政策挂钩。(县市场监督管理局、县发改委牵头，县人行、县国税局、县地税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三)推动个体工商户转型为企业。在不违反法律法规的前提下，申请人在注销原来个体工商户的同时，只须填写“个体户转型升级为企业申请书”即可升级为企业。对转型后企业参加失业保险符合条件的，按规定给予稳岗补贴。对转型后企业在政策性担保贷款上给予倾斜支持。加强创业培训辅导，提高初创企业活跃度。(县市场监督管理局牵头，县地税局、县人社局、县财政局、县金融办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四)减免有关行政事业性收费、服务性收费。进一步规范全县涉企行政事业性收费项目，联合县物价局尽快制定收费目录并进行公示，凡不在目录内的行政事业性收费项目的一律不得收取。落实创业负担举报反馈机制。严格按照上级要求，对初创企业免收登记类、证照类、管理类行政事业性收费。事业单位服务性收费，以及依法开展的各类行政审批前置性、强制性评估、检测、论证等专业服务性收费，对初创企业可按不高于物价主管部门核定标准的50%收取。(县财政局牵头，县发改委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二、激发主体活力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五)提高科研技术人员创业创新积极性。完善事业单位专业技术人员在职创业、离岗创业有关政策。对离岗创业的，经原单位同意，可在3年内保留人事关系，与原单位其他在岗人员同等享有参加职称评聘、岗位等级晋升和社会保险等方面的权利。原单位应当根据专业技术人员创业实际情况，与其签订或变更聘用合同，明确权利义务。(县人社局牵头，县科技局等相关单位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六)允许事业单位职工停职创业。事业单位(参照公务员法管理的事业单位除外)职工经单位批准，可停职领办创办企业。3年内不再领办创办企业的职工允许回原单位工作，3年期满后继续领办创办企业的职工按辞职规定办理。经单位批准辞职的职工，按规定参加社会保险，缴纳社会保险费，享受社会保险待遇。加快推进社会保障制度改革，破除人才自由流动制度障碍，促进人才顺畅流动。(县人社局牵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七)建立科学的职业资格体系。再取消一批职业资格许可和认定事项，落实国家职业资格目录清单制度，完善职业资格监管措施，让广大劳动者更好施展才能，推动形成创业创新蓬勃局面。(县人社局牵头，县卫计委、县教体局、县财政局、县住建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八)引领大学生为主的青年创业创新。实施大学生创业引领计划。将求职补贴调整为求职创业补贴，对象范围扩展到已获得国家助学贷款的毕业年度高校毕业生，一次性求职补贴标准由每人800元提高到1000元。对符合条件的大学生(在校及毕业5年内)给予一次性创业补贴，补贴标准由2000元提高到5000元。对已进行就业创业登记并参加社会保险的自主创业大学生，可按灵活就业人员待遇给予社会保险补贴。(县人社局、县教体局牵头，县财政局、团县委、县妇联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九)鼓励农村劳动力创业创新。支持农民工返乡创业，发展农民合作社、家庭农场等新型农业经营主体，落实税收减免和普遍免费政策。积极创建农民工返乡创业园，强化财政扶持和金融服务。支持发展农产品加工、休闲农业、乡村旅游、农村服务业等劳动密集型产业项目，促进农村产业融合。支持农民网上创业，积极组织创新创业农民与企业、市场和园区对接，创建农村科技致富示范基地，推进农村青年创业富民行动。开发家庭服务、手工制品、来料加工等适合妇女创业就业特点的项目，激发妇女创业创新积极性。(县农业局牵头，县人社局、县科技局、团县委、县妇联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吸引高层次人才和本籍客商回乡创业创新。拓宽高层次人才引进方式，紧贴我县经济建设和社会发展的重点项目、重点产业、重点企业，坚持招商引资与招才引智互动，引进人才与引进管理经验并重，刚性引进与柔性引进结合，鼓励企业采取咨询、讲学、兼职、短期聘用、技术合作、人才租赁等方式灵活引进国内外人才智力，畅通人才引进“绿色”通道。加强创业创新平台建设。充分发挥省工信委授予的“江西省机电(液压件)产业基地”和“江西省绿色农副食品产业基地”、省发改委授予的“江西安福液压机电产业基地”等三个基地的引领效应，加大资金投入，完善小微企业创业园的孵化动能，尽快推进机电产业园建设，创建机电产业技师工作室，为安福创业创新人员提供平台。认真落实支持创业激励创新政策。凡是符合我县经济发展需求入驻安福的创业创新人员，将在财政、税收、融资服务、用地保障等方面给予扶持，物管费、卫生费、房租费、水电费给予补贴，吸纳的就业人员将享受园区企业员工待遇。(县人社局牵头，县工信委、县教体局、县卫计委、县商务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一)鼓励电子商务创业就业。经工商登记注册的网络商户从业人员，同等享受各项就业创业扶持政策;未进行工商登记注册的网络商户从业人员，可认定为灵活就业人员，享受灵活就业人员扶持政策，其中通过网上交易平台实名制认证、稳定经营三个月以上且信誉良好的网络商户从业人员，可按规定享受创业担保贷款及贴息政策。(县人社局牵头，县财政局、县商务局、县教体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三、加大资金扶持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二)加大财政资金支持和统筹力度。根据创业创新需要，统筹安排各类支持小微企业和创业创新的资金，加大对创业创新支持力度，强化资金预算执行和监管，加强资金使用绩效评价。支持小微企业向上立项争资，强化项目资金监管;通过设立“小微企业还贷周转金”有效缓解小微企业资金周转困难;对符合政策导向的企业贷款提供财政贴息支持;鼓励企业上市，对成功上市企业县财政予以配套奖励。(县财政局牵头，县发改委、县工信委、县科技局、县人社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三)发挥政府采购支持作用。落实促进中小企业发展的政府采购政策，加强对采购单位的政策指导和监督检查，督促采购单位改进计划编制和项目预留管理，增强政策对小微企业发展的支持效果。加大创新产品和服务的采购力度，把政府采购与支持创业发展紧密结合起来。(县财政局牵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四)创新融资模式。实施新兴产业“双创”三年行动计划，建立一批新兴产业“双创”示范基地，引导社会资金支持大众创业。按照“政府引导、市场化运作、专业化管理”原则，加快设立工业创业投资引导基金，促进风险投资、创业投资、天使投资等投资创业创新企业发展，加大对初创企业支持力度。充分发挥资本市场作用，引导和鼓励创业创新企业在主板、中小板、创业板、“新三板”和江西联合股权交易中心上市(挂牌)融资。加大宣传推广和辅导力度，帮助具有持续盈利能力、主营业务突出、规范运作、成长性好的创业创新企业在境内外资本市场首发上市、在“新三板”挂牌;推动创业创新企业通过发行各类债券、资产支持证券(票据)、吸收私募投资基金等方式融资。(县发改委、县金融办牵头，县财政局、县工信委、县国资委、县人行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五)完善融资政策。强化财政资金杠杆作用，运用“财园信贷通”、“财政惠农信贷通”、“财政信用担保”、“中小企业信用担保”等融资模式，强化对创业创新企业、新型农业经营主体的信贷扶持，引导金融机构积极为小微企业提供信贷支持。落实相继出台的“财园信贷通”、“财政惠农信贷通”等实施办法，及时拨付财政保证金。(县财政局牵头，县金融办、县工信委、县科技局、县人行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六)加强创业担保贷款扶持。按照省政府“将小额担保贷款调整为创业担保贷款，个体创业担保贷款最高额度为10万元;对符合二次扶持条件的个人，贷款最高限额30万元;对合伙经营和组织起来创业的，贷款最高限额50万元;对劳动密集型小企业(促进就业基地)等，贷款最高限额400万元”的标准，县财政落实对劳动密集型小企业25%、对促进就业基地75%的地方配套贴息资金。同时，降低创业担保贷款反担保门槛，对创业项目前景好，但自筹资金不足且不能提供反担保的，通过诚信度评估后，可采取信用担保或互联互保方式进行反担保，给予创业担保贷款扶持。(县人社局牵头，县人行、县财政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七)落实促进就业创业税收优惠政策。将企业吸纳就业税收优惠的人员范围由失业一年以上人员调整为失业半年以上人员。高校毕业生、登记失业人员等重点群体创办个体工商户、个人独资企业的，可按国家规定享受税收最高上浮限额减免等政策。落实国家有关推广中关村国家自主创新示范区税收试点政策，包括职工教育经费税前扣除政策、企业转增股本分期缴纳个人所得税政策、股权奖励分期缴纳个人所得税政策。对符合条件的创业投资企业采取股权投资方式投资未上市的中小高新技术企业2年以上的，可以按照其投资额的70%在股权持有满2年的当年抵扣该创业投资企业的应纳税所得额，当年不足抵扣的，可在以后纳税年度结转抵扣。对企业为开发新技术、新产品、新工艺发生的研究开发费，未形成无形资产计入当期损益的，在按照规定据实扣除的基础上，按照研究开发费用的50%加计扣除;形成无形资产的，按照无形资产成本的150%摊销。(县财政局牵头，县国税局、县地税局、县人社局、县科技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八)提高创业费用补贴标准。对入驻创业孵化基地的企业、个人，在创业孵化基地3年内发生的物管费、卫生费、房租费、水电费等给予补贴，补贴标准由原来不超过50%提高到60%，所需资金由就业资金统筹安排。(县人社局牵头，县财政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十九)资助优秀创业项目。鼓励举办各种类型创业创新大赛，主办单位可对获奖项目给予一定的资助。推荐评选一批优秀创业项目，建立项目库，并给予重点扶持，所需资金由就业资金统筹安排。对获得国家和省有关部门、单位联合组织的创业大赛奖项并在江西登记注册经营的创业项目，给予一定额度的资助。对创业大赛评选出的优秀创业项目，给予创业担保贷款重点支持。(县人社局牵头，县财政局、县科技局、团县委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四、提升服务水平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培育众创空间。以行业领军企业、创业投资机构、社会组织等为主力，以工业园区、企业孵化器、大学生创业园和电商企业为载体，培育一批众创空间。鼓励各类创新主体在高新技术和战略性新兴产业等领域，集成人才、技术、资本、市场等各种要素，兴办创新与创业相结合、线上与线下相结合、孵化与投资相结合的孵化机构。打造包括“创业咖啡”、“创新工场”、“创新创业实验室”在内的各种形式众创空间。积极为各种形式众创空间争取支持资金。(县科技局牵头，县财政局、县工信委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一)创新服务模式。加快发展“互联网+”创业网络体系，建设一批小微企业创业创新基地。加强政府数据开放共享，鼓励和引导大型互联网企业和基础电信企业向创业者开放计算、存储和数据资源。积极推广众包、用户参与设计、云设计等新型研发组织模式和创业创新模式。大力发展企业管理、财务咨询、人力资源、法律顾问、现代物流等第三方专业服务。(县发改委牵头，县工信委、县科技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二)促进技术成果转移转化。加大对创新型企业专利申请扶持力度，在申请费用减免、专利资助方面给予倾斜，开辟绿色通道，简化办理程序。按照《江西省战略性新兴产业专利技术研发引导与产业化示范专项资金项目和资金管理暂行办法》，积极为专利技术成果转化争取省级资助。积极推进知识产权(专利)孵化平台建设，加强创新型企业维权援助能力建设。(县科技局、县教体局牵头，县财政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三)推进创业创新教育。在普通高中、职业中学和培训机构全面推进创业创新教育，把创业创新课程纳入国民教育体系。优化教育师资结构，大力吸纳有实践经验的创业者、职业经理人和其他专业人员加入师资队伍。推进创业创新教育示范学校建设，鼓励有条件的学校充分依托现有资源建设创业型学校。(县教体局牵头，县人社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四)加大创业培训力度。对具有创业要求和培训愿望、具备一定创业条件的城乡各类劳动者，参加创业培训可按规定申请创业培训补贴，补贴标准为每人1000元至1600元。组建创业导师志愿团队，建立创业导师(专家)库，对创业者分类、分阶段进行指导;开展创业创新系列宣讲、咨询服务活动。培训一批农民创业创新辅导员。(县人社局牵头，县农业局、县教体局、县财政局、县工信委、县科技局、团县委、县妇联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五)加快创业孵化基地建设。鼓励社会力量新建或利用各种场地资源改造建设创业孵化基地，搭建促进创业的公共服务平台，有条件的地方可探索采取政府和社会资本合作(PPP)模式共同投资建设。全面推动高校建立大学生创业孵化基地，对符合条件的大学生项目享受创业优惠政策。积极创建省级创业创新带动就业示范基地和国家级示范性基地。(县人社局、县教体局牵头，县财政局、县科技局、县农业局、团县委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六)夯实公共就业创业服务基础。健全公共就业创业服务经费保障机制，将公共就业创业服务机构和基层公共就业创业服务平台经费纳入同级财政预算。将职业介绍补贴和扶持公共就业服务补助合并调整为就业创业服务补贴。创新服务供给模式，向社会力量购买基本就业创业服务成果，形成多元参与、公平竞争格局，提高服务质量和效率。发布创业政策，集中办理创业事项，为创业者提供“一站式”创业服务。(县人社局牵头，县科技局、县财政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十七)营造创业创新良好氛围。支持举办创业训练营、创业创新大赛、创新成果和创业项目展示推介等活动，搭建创业者交流平台，培育创业文化，营造鼓励创业、宽容失败的良好社会氛围。发挥电视、报刊、网络、微信、微博等各类媒介作用，采取多形式、多渠道，加大对大众创业、万众创新的新闻宣传和舆论引导，树立一批创业创新典型人物，让大众创业、万众创新蔚然成风。积极开展创业型城市创建活动。(县人社局牵头，县教体局、县科技局、县财政局等有关部门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各有关部门要加强组织领导，建立健全经济发展、创业创新与扩大就业的联动协调机制，结合本部门实际，抓紧制定具体操作办法，明确任务分工、落实工作责任，推动本实施意见确定的各项政策措施落实到位，不断拓展大众创业、万众创新的空间，汇聚经济社会发展新动能，促进全县经济加快发展、转型升级。县政府将对贯彻落实情况进行督查，对工作不力的将追究有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right"/>
      </w:pPr>
      <w:r>
        <w:rPr>
          <w:rFonts w:hint="eastAsia" w:ascii="宋体" w:hAnsi="宋体" w:eastAsia="宋体" w:cs="宋体"/>
          <w:i w:val="0"/>
          <w:caps w:val="0"/>
          <w:color w:val="000000"/>
          <w:spacing w:val="0"/>
          <w:sz w:val="16"/>
          <w:szCs w:val="16"/>
          <w:bdr w:val="none" w:color="auto" w:sz="0" w:space="0"/>
        </w:rPr>
        <w:t>2015年9月10日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安福县人民政府办公室  2015年9月10日印发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7CBE"/>
    <w:rsid w:val="6ECC7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2018-05-12T12:39:00Z</dcterms:created>
  <dc:creator>huchunming</dc:creator>
  <cp:lastModifiedBy>huchunming</cp:lastModifiedBy>
  <dcterms:modified xsi:type="dcterms:W3CDTF">2018-05-12T12:40:51Z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