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006" w:rsidRDefault="00EE3006" w:rsidP="00EE3006">
      <w:pPr>
        <w:pStyle w:val="a3"/>
        <w:shd w:val="clear" w:color="auto" w:fill="FFFFFF"/>
        <w:spacing w:before="0" w:beforeAutospacing="0" w:after="0" w:afterAutospacing="0" w:line="360" w:lineRule="atLeast"/>
        <w:rPr>
          <w:rFonts w:ascii="微软雅黑" w:eastAsia="微软雅黑" w:hAnsi="微软雅黑"/>
          <w:color w:val="000000"/>
          <w:sz w:val="21"/>
          <w:szCs w:val="21"/>
        </w:rPr>
      </w:pPr>
      <w:r>
        <w:rPr>
          <w:rFonts w:ascii="微软雅黑" w:eastAsia="微软雅黑" w:hAnsi="微软雅黑" w:hint="eastAsia"/>
          <w:color w:val="000000"/>
          <w:sz w:val="21"/>
          <w:szCs w:val="21"/>
        </w:rPr>
        <w:t>各乡、镇人民政府，县政府各部门、各直属机构：</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经县政府同意，现将《颍上县促进限额以上商贸企业发展奖励暂行办法》印发给你们，请认真贯彻执行。</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EE3006" w:rsidRDefault="00EE3006" w:rsidP="00EE3006">
      <w:pPr>
        <w:pStyle w:val="a3"/>
        <w:shd w:val="clear" w:color="auto" w:fill="FFFFFF"/>
        <w:spacing w:before="0" w:beforeAutospacing="0" w:after="0" w:afterAutospacing="0" w:line="360" w:lineRule="atLeast"/>
        <w:jc w:val="righ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颍上县人民政府办公室</w:t>
      </w:r>
    </w:p>
    <w:p w:rsidR="00EE3006" w:rsidRDefault="00EE3006" w:rsidP="00EE3006">
      <w:pPr>
        <w:pStyle w:val="a3"/>
        <w:shd w:val="clear" w:color="auto" w:fill="FFFFFF"/>
        <w:spacing w:before="0" w:beforeAutospacing="0" w:after="0" w:afterAutospacing="0" w:line="360" w:lineRule="atLeast"/>
        <w:jc w:val="righ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2016年9月26日</w:t>
      </w:r>
    </w:p>
    <w:p w:rsidR="00EE3006" w:rsidRDefault="00EE3006" w:rsidP="00EE3006">
      <w:pPr>
        <w:pStyle w:val="a3"/>
        <w:shd w:val="clear" w:color="auto" w:fill="FFFFFF"/>
        <w:spacing w:before="0" w:beforeAutospacing="0" w:after="0" w:afterAutospacing="0" w:line="360" w:lineRule="atLeast"/>
        <w:jc w:val="righ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EE3006" w:rsidRDefault="00EE3006" w:rsidP="00EE3006">
      <w:pPr>
        <w:pStyle w:val="a3"/>
        <w:shd w:val="clear" w:color="auto" w:fill="FFFFFF"/>
        <w:spacing w:before="0" w:beforeAutospacing="0" w:after="0" w:afterAutospacing="0" w:line="360" w:lineRule="atLeast"/>
        <w:jc w:val="center"/>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rPr>
        <w:t>颍上</w:t>
      </w:r>
      <w:proofErr w:type="gramStart"/>
      <w:r>
        <w:rPr>
          <w:rStyle w:val="a4"/>
          <w:rFonts w:ascii="微软雅黑" w:eastAsia="微软雅黑" w:hAnsi="微软雅黑" w:hint="eastAsia"/>
          <w:color w:val="000000"/>
        </w:rPr>
        <w:t>县促进</w:t>
      </w:r>
      <w:proofErr w:type="gramEnd"/>
      <w:r>
        <w:rPr>
          <w:rStyle w:val="a4"/>
          <w:rFonts w:ascii="微软雅黑" w:eastAsia="微软雅黑" w:hAnsi="微软雅黑" w:hint="eastAsia"/>
          <w:color w:val="000000"/>
        </w:rPr>
        <w:t>限额以上商贸企业发展</w:t>
      </w:r>
    </w:p>
    <w:p w:rsidR="00EE3006" w:rsidRDefault="00EE3006" w:rsidP="00EE3006">
      <w:pPr>
        <w:pStyle w:val="a3"/>
        <w:shd w:val="clear" w:color="auto" w:fill="FFFFFF"/>
        <w:spacing w:before="0" w:beforeAutospacing="0" w:after="0" w:afterAutospacing="0" w:line="360" w:lineRule="atLeast"/>
        <w:jc w:val="center"/>
        <w:rPr>
          <w:rFonts w:ascii="微软雅黑" w:eastAsia="微软雅黑" w:hAnsi="微软雅黑" w:hint="eastAsia"/>
          <w:color w:val="000000"/>
          <w:sz w:val="21"/>
          <w:szCs w:val="21"/>
        </w:rPr>
      </w:pPr>
      <w:r>
        <w:rPr>
          <w:rStyle w:val="a4"/>
          <w:rFonts w:ascii="微软雅黑" w:eastAsia="微软雅黑" w:hAnsi="微软雅黑" w:hint="eastAsia"/>
          <w:color w:val="000000"/>
        </w:rPr>
        <w:t xml:space="preserve">　　奖励暂行办法</w:t>
      </w:r>
    </w:p>
    <w:p w:rsidR="00EE3006" w:rsidRDefault="00EE3006" w:rsidP="00EE3006">
      <w:pPr>
        <w:pStyle w:val="a3"/>
        <w:shd w:val="clear" w:color="auto" w:fill="FFFFFF"/>
        <w:spacing w:before="0" w:beforeAutospacing="0" w:after="0" w:afterAutospacing="0" w:line="360" w:lineRule="atLeast"/>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EE3006" w:rsidRDefault="00EE3006" w:rsidP="00EE3006">
      <w:pPr>
        <w:pStyle w:val="a3"/>
        <w:shd w:val="clear" w:color="auto" w:fill="FFFFFF"/>
        <w:spacing w:before="0" w:beforeAutospacing="0" w:after="0" w:afterAutospacing="0" w:line="360" w:lineRule="atLeast"/>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第一章  总则</w:t>
      </w:r>
    </w:p>
    <w:p w:rsidR="00EE3006" w:rsidRDefault="00EE3006" w:rsidP="00EE3006">
      <w:pPr>
        <w:pStyle w:val="a3"/>
        <w:shd w:val="clear" w:color="auto" w:fill="FFFFFF"/>
        <w:spacing w:before="0" w:beforeAutospacing="0" w:after="0" w:afterAutospacing="0" w:line="360" w:lineRule="atLeast"/>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第一条  </w:t>
      </w:r>
      <w:r>
        <w:rPr>
          <w:rFonts w:ascii="微软雅黑" w:eastAsia="微软雅黑" w:hAnsi="微软雅黑" w:hint="eastAsia"/>
          <w:color w:val="000000"/>
          <w:sz w:val="21"/>
          <w:szCs w:val="21"/>
        </w:rPr>
        <w:t>为了充分调动各乡镇、县直有关部门培育发展限额以上商贸企业积极性，鼓励县内商贸企业和个体经营户做</w:t>
      </w:r>
      <w:proofErr w:type="gramStart"/>
      <w:r>
        <w:rPr>
          <w:rFonts w:ascii="微软雅黑" w:eastAsia="微软雅黑" w:hAnsi="微软雅黑" w:hint="eastAsia"/>
          <w:color w:val="000000"/>
          <w:sz w:val="21"/>
          <w:szCs w:val="21"/>
        </w:rPr>
        <w:t>强做</w:t>
      </w:r>
      <w:proofErr w:type="gramEnd"/>
      <w:r>
        <w:rPr>
          <w:rFonts w:ascii="微软雅黑" w:eastAsia="微软雅黑" w:hAnsi="微软雅黑" w:hint="eastAsia"/>
          <w:color w:val="000000"/>
          <w:sz w:val="21"/>
          <w:szCs w:val="21"/>
        </w:rPr>
        <w:t>大，加快推进我县商贸经济上台阶、上水平、上规模，促进我县商贸经济大繁荣和社会消费品零售总额持续增长，结合我县实际，特制定本办法。</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第二条  </w:t>
      </w:r>
      <w:r>
        <w:rPr>
          <w:rFonts w:ascii="微软雅黑" w:eastAsia="微软雅黑" w:hAnsi="微软雅黑" w:hint="eastAsia"/>
          <w:color w:val="000000"/>
          <w:sz w:val="21"/>
          <w:szCs w:val="21"/>
        </w:rPr>
        <w:t>限额以上商贸企业(含个体户，下同)的标准为：批发业年主营业务收入2000万元及以上;零售业年主营业务收入500万元及以上;住宿餐饮业年主营业务收入200万元及以上。</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第三条  </w:t>
      </w:r>
      <w:r>
        <w:rPr>
          <w:rFonts w:ascii="微软雅黑" w:eastAsia="微软雅黑" w:hAnsi="微软雅黑" w:hint="eastAsia"/>
          <w:color w:val="000000"/>
          <w:sz w:val="21"/>
          <w:szCs w:val="21"/>
        </w:rPr>
        <w:t>县政府设立限额以上商贸企业发展基金，主要用于限额以上商贸企业培育和发展奖励。奖励资金实行年度考核，动态管理。基金数额根据经济发展状况适当增减。</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EE3006" w:rsidRDefault="00EE3006" w:rsidP="00EE3006">
      <w:pPr>
        <w:pStyle w:val="a3"/>
        <w:shd w:val="clear" w:color="auto" w:fill="FFFFFF"/>
        <w:spacing w:before="0" w:beforeAutospacing="0" w:after="0" w:afterAutospacing="0" w:line="360" w:lineRule="atLeast"/>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 xml:space="preserve">　　第二章 奖励范围和条件</w:t>
      </w:r>
    </w:p>
    <w:p w:rsidR="00EE3006" w:rsidRDefault="00EE3006" w:rsidP="00EE3006">
      <w:pPr>
        <w:pStyle w:val="a3"/>
        <w:shd w:val="clear" w:color="auto" w:fill="FFFFFF"/>
        <w:spacing w:before="0" w:beforeAutospacing="0" w:after="0" w:afterAutospacing="0" w:line="360" w:lineRule="atLeast"/>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第四条  </w:t>
      </w:r>
      <w:r>
        <w:rPr>
          <w:rFonts w:ascii="微软雅黑" w:eastAsia="微软雅黑" w:hAnsi="微软雅黑" w:hint="eastAsia"/>
          <w:color w:val="000000"/>
          <w:sz w:val="21"/>
          <w:szCs w:val="21"/>
        </w:rPr>
        <w:t>奖励范围</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proofErr w:type="gramStart"/>
      <w:r>
        <w:rPr>
          <w:rFonts w:ascii="微软雅黑" w:eastAsia="微软雅黑" w:hAnsi="微软雅黑" w:hint="eastAsia"/>
          <w:color w:val="000000"/>
          <w:sz w:val="21"/>
          <w:szCs w:val="21"/>
        </w:rPr>
        <w:t>一</w:t>
      </w:r>
      <w:proofErr w:type="gramEnd"/>
      <w:r>
        <w:rPr>
          <w:rFonts w:ascii="微软雅黑" w:eastAsia="微软雅黑" w:hAnsi="微软雅黑" w:hint="eastAsia"/>
          <w:color w:val="000000"/>
          <w:sz w:val="21"/>
          <w:szCs w:val="21"/>
        </w:rPr>
        <w:t>)限额以上商贸企业;</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(二)限额以上商贸企业统计人员;</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(三)在培育限额以上商贸企业中工作突出的乡镇及县直部门。</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第五条  </w:t>
      </w:r>
      <w:r>
        <w:rPr>
          <w:rFonts w:ascii="微软雅黑" w:eastAsia="微软雅黑" w:hAnsi="微软雅黑" w:hint="eastAsia"/>
          <w:color w:val="000000"/>
          <w:sz w:val="21"/>
          <w:szCs w:val="21"/>
        </w:rPr>
        <w:t>奖励条件</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proofErr w:type="gramStart"/>
      <w:r>
        <w:rPr>
          <w:rFonts w:ascii="微软雅黑" w:eastAsia="微软雅黑" w:hAnsi="微软雅黑" w:hint="eastAsia"/>
          <w:color w:val="000000"/>
          <w:sz w:val="21"/>
          <w:szCs w:val="21"/>
        </w:rPr>
        <w:t>一</w:t>
      </w:r>
      <w:proofErr w:type="gramEnd"/>
      <w:r>
        <w:rPr>
          <w:rFonts w:ascii="微软雅黑" w:eastAsia="微软雅黑" w:hAnsi="微软雅黑" w:hint="eastAsia"/>
          <w:color w:val="000000"/>
          <w:sz w:val="21"/>
          <w:szCs w:val="21"/>
        </w:rPr>
        <w:t>)限额以上商贸企业(含个体户)：商贸企业必须在县市场监督管理部门登记注册，合法经营，执行国家政策法规，无安全生产责任事故和违法行为;企业财务管理规范，按时向县统计局等部门报送各类报表;增速位居全县前列;本年新增限额以上商贸企业(批发零售和住宿餐饮业)必须是连续申报三个月以上的企业。</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(二)限额以上商贸企业统计人员：负责统计工作的专职人员;统计基础工作较为规范，能全面、及时、准确上报统计报表;积极配合商务、统计等部门工作。</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(三)乡镇、县直部门：完成或超额完成当年县政府下达的目标任务;成立组织、有分管领导和具体工作人员负责抓商贸企业培育工作。</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EE3006" w:rsidRDefault="00EE3006" w:rsidP="00EE3006">
      <w:pPr>
        <w:pStyle w:val="a3"/>
        <w:shd w:val="clear" w:color="auto" w:fill="FFFFFF"/>
        <w:spacing w:before="0" w:beforeAutospacing="0" w:after="0" w:afterAutospacing="0" w:line="360" w:lineRule="atLeast"/>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第三章  奖励政策</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第六条  </w:t>
      </w:r>
      <w:r>
        <w:rPr>
          <w:rFonts w:ascii="微软雅黑" w:eastAsia="微软雅黑" w:hAnsi="微软雅黑" w:hint="eastAsia"/>
          <w:color w:val="000000"/>
          <w:sz w:val="21"/>
          <w:szCs w:val="21"/>
        </w:rPr>
        <w:t>对限额以上商贸企业的奖励</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(一)对当年新增加的限额以上商贸企业，一次性奖励经营者5000元。鼓励现有限额以上商贸企业加快发展，争上台阶，做大做强。</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 xml:space="preserve">　　(二)对完成全年任务，并且增幅达到全县任务要求的限额以上商贸企业，年终进行表彰。根据总量和增幅情况进行排名，全县设一等奖一名，奖励3万元;二等奖两名，分别奖励2万元;三等奖三名，分别奖励1万元。</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(三)积极争取省、市有关扶持限额以上商贸企业发展的有关项目和政策，并及时全面落实到位。</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(四)优先推荐限额以上商贸企业参加相关部门组织的各项评比活动。</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第七条  </w:t>
      </w:r>
      <w:r>
        <w:rPr>
          <w:rFonts w:ascii="微软雅黑" w:eastAsia="微软雅黑" w:hAnsi="微软雅黑" w:hint="eastAsia"/>
          <w:color w:val="000000"/>
          <w:sz w:val="21"/>
          <w:szCs w:val="21"/>
        </w:rPr>
        <w:t>对乡镇及相关单位的奖励</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proofErr w:type="gramStart"/>
      <w:r>
        <w:rPr>
          <w:rFonts w:ascii="微软雅黑" w:eastAsia="微软雅黑" w:hAnsi="微软雅黑" w:hint="eastAsia"/>
          <w:color w:val="000000"/>
          <w:sz w:val="21"/>
          <w:szCs w:val="21"/>
        </w:rPr>
        <w:t>一</w:t>
      </w:r>
      <w:proofErr w:type="gramEnd"/>
      <w:r>
        <w:rPr>
          <w:rFonts w:ascii="微软雅黑" w:eastAsia="微软雅黑" w:hAnsi="微软雅黑" w:hint="eastAsia"/>
          <w:color w:val="000000"/>
          <w:sz w:val="21"/>
          <w:szCs w:val="21"/>
        </w:rPr>
        <w:t>)乡镇当年每新增1户限额以上商贸企业，县政府奖励乡镇5000元，用于奖励有功人员。</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(二)对乡镇、县直部门在当年培育发展限额以上商贸企业工作中成绩突出的单位和个人，年终县政府将予以奖励。分别</w:t>
      </w:r>
      <w:proofErr w:type="gramStart"/>
      <w:r>
        <w:rPr>
          <w:rFonts w:ascii="微软雅黑" w:eastAsia="微软雅黑" w:hAnsi="微软雅黑" w:hint="eastAsia"/>
          <w:color w:val="000000"/>
          <w:sz w:val="21"/>
          <w:szCs w:val="21"/>
        </w:rPr>
        <w:t>设先进</w:t>
      </w:r>
      <w:proofErr w:type="gramEnd"/>
      <w:r>
        <w:rPr>
          <w:rFonts w:ascii="微软雅黑" w:eastAsia="微软雅黑" w:hAnsi="微软雅黑" w:hint="eastAsia"/>
          <w:color w:val="000000"/>
          <w:sz w:val="21"/>
          <w:szCs w:val="21"/>
        </w:rPr>
        <w:t>单位3个，各奖励1万元。按一定比例评选先进个人并给予奖励。</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EE3006" w:rsidRDefault="00EE3006" w:rsidP="00EE3006">
      <w:pPr>
        <w:pStyle w:val="a3"/>
        <w:shd w:val="clear" w:color="auto" w:fill="FFFFFF"/>
        <w:spacing w:before="0" w:beforeAutospacing="0" w:after="0" w:afterAutospacing="0" w:line="360" w:lineRule="atLeast"/>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第四章 评审机构及奖金发放程序</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第九条  </w:t>
      </w:r>
      <w:r>
        <w:rPr>
          <w:rFonts w:ascii="微软雅黑" w:eastAsia="微软雅黑" w:hAnsi="微软雅黑" w:hint="eastAsia"/>
          <w:color w:val="000000"/>
          <w:sz w:val="21"/>
          <w:szCs w:val="21"/>
        </w:rPr>
        <w:t>成立限额以上商贸企业培育工作领导小组，组长由县政府分管负责同志担任，县商务、统计、财政等部门为成员，办公室设在县商务局。县商务局会同县统计局每个年度向县限额以上商贸企业培育工作领导小组办公室提出奖励的建议名单和金额，经领导小组审核同意并报县政府批准后实施。</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第十条  </w:t>
      </w:r>
      <w:r>
        <w:rPr>
          <w:rFonts w:ascii="微软雅黑" w:eastAsia="微软雅黑" w:hAnsi="微软雅黑" w:hint="eastAsia"/>
          <w:color w:val="000000"/>
          <w:sz w:val="21"/>
          <w:szCs w:val="21"/>
        </w:rPr>
        <w:t>县财政局根据县政府批文，及时将奖励资金拨付至县商务局，并由县商务局负责安排发放。</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EE3006" w:rsidRDefault="00EE3006" w:rsidP="00EE3006">
      <w:pPr>
        <w:pStyle w:val="a3"/>
        <w:shd w:val="clear" w:color="auto" w:fill="FFFFFF"/>
        <w:spacing w:before="0" w:beforeAutospacing="0" w:after="0" w:afterAutospacing="0" w:line="360" w:lineRule="atLeast"/>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 xml:space="preserve">　　第五章  附则</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第十一条  </w:t>
      </w:r>
      <w:r>
        <w:rPr>
          <w:rFonts w:ascii="微软雅黑" w:eastAsia="微软雅黑" w:hAnsi="微软雅黑" w:hint="eastAsia"/>
          <w:color w:val="000000"/>
          <w:sz w:val="21"/>
          <w:szCs w:val="21"/>
        </w:rPr>
        <w:t>本暂行办法由县商务局、统计局负责解释。</w:t>
      </w:r>
    </w:p>
    <w:p w:rsidR="00EE3006" w:rsidRDefault="00EE3006" w:rsidP="00EE3006">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1"/>
          <w:szCs w:val="21"/>
        </w:rPr>
        <w:t>第十二条  </w:t>
      </w:r>
      <w:r>
        <w:rPr>
          <w:rFonts w:ascii="微软雅黑" w:eastAsia="微软雅黑" w:hAnsi="微软雅黑" w:hint="eastAsia"/>
          <w:color w:val="000000"/>
          <w:sz w:val="21"/>
          <w:szCs w:val="21"/>
        </w:rPr>
        <w:t>本暂行办法自发布之日起实施。</w:t>
      </w:r>
    </w:p>
    <w:p w:rsidR="00645C1B" w:rsidRPr="00EE3006" w:rsidRDefault="00645C1B">
      <w:bookmarkStart w:id="0" w:name="_GoBack"/>
      <w:bookmarkEnd w:id="0"/>
    </w:p>
    <w:sectPr w:rsidR="00645C1B" w:rsidRPr="00EE30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20"/>
    <w:rsid w:val="002A2C20"/>
    <w:rsid w:val="00645C1B"/>
    <w:rsid w:val="00EE3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704B8-A084-4273-B490-75A3E093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300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E30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32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2018-05-15T03:16:00Z</dcterms:created>
  <dcterms:modified xsi:type="dcterms:W3CDTF">2018-05-15T03:16:00Z</dcterms:modified>
</cp:coreProperties>
</file>