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3500" w:type="dxa"/>
        <w:tblCellSpacing w:w="0" w:type="dxa"/>
        <w:tblCellMar>
          <w:left w:w="0" w:type="dxa"/>
          <w:right w:w="0" w:type="dxa"/>
        </w:tblCellMar>
        <w:tblLook w:val="04A0" w:firstRow="1" w:lastRow="0" w:firstColumn="1" w:lastColumn="0" w:noHBand="0" w:noVBand="1"/>
      </w:tblPr>
      <w:tblGrid>
        <w:gridCol w:w="13500"/>
      </w:tblGrid>
      <w:tr w:rsidR="00046E7A" w:rsidRPr="00046E7A" w:rsidTr="00046E7A">
        <w:trPr>
          <w:trHeight w:val="1350"/>
          <w:tblCellSpacing w:w="0" w:type="dxa"/>
        </w:trPr>
        <w:tc>
          <w:tcPr>
            <w:tcW w:w="0" w:type="auto"/>
            <w:vAlign w:val="center"/>
            <w:hideMark/>
          </w:tcPr>
          <w:p w:rsidR="00046E7A" w:rsidRPr="00046E7A" w:rsidRDefault="00046E7A" w:rsidP="00046E7A">
            <w:pPr>
              <w:widowControl/>
              <w:spacing w:line="630" w:lineRule="atLeast"/>
              <w:jc w:val="center"/>
              <w:rPr>
                <w:rFonts w:ascii="微软雅黑" w:eastAsia="微软雅黑" w:hAnsi="微软雅黑" w:cs="宋体"/>
                <w:color w:val="0A53B4"/>
                <w:kern w:val="0"/>
                <w:sz w:val="45"/>
                <w:szCs w:val="45"/>
              </w:rPr>
            </w:pPr>
            <w:r w:rsidRPr="00046E7A">
              <w:rPr>
                <w:rFonts w:ascii="微软雅黑" w:eastAsia="微软雅黑" w:hAnsi="微软雅黑" w:cs="宋体" w:hint="eastAsia"/>
                <w:color w:val="0A53B4"/>
                <w:kern w:val="0"/>
                <w:sz w:val="45"/>
                <w:szCs w:val="45"/>
              </w:rPr>
              <w:t>关于印发《吉林省科技小巨人企业R&amp;D投入补贴和贷款担保管理工作实施细则》的通知</w:t>
            </w:r>
          </w:p>
        </w:tc>
      </w:tr>
    </w:tbl>
    <w:p w:rsidR="00046E7A" w:rsidRPr="00046E7A" w:rsidRDefault="00046E7A" w:rsidP="00046E7A">
      <w:pPr>
        <w:widowControl/>
        <w:jc w:val="left"/>
        <w:rPr>
          <w:rFonts w:ascii="宋体" w:hAnsi="宋体" w:cs="宋体"/>
          <w:vanish/>
          <w:kern w:val="0"/>
          <w:sz w:val="24"/>
          <w:szCs w:val="24"/>
        </w:rPr>
      </w:pPr>
    </w:p>
    <w:tbl>
      <w:tblPr>
        <w:tblW w:w="13500" w:type="dxa"/>
        <w:tblCellSpacing w:w="0" w:type="dxa"/>
        <w:tblBorders>
          <w:bottom w:val="dashed" w:sz="6" w:space="0" w:color="CCCCCC"/>
        </w:tblBorders>
        <w:tblCellMar>
          <w:left w:w="0" w:type="dxa"/>
          <w:right w:w="0" w:type="dxa"/>
        </w:tblCellMar>
        <w:tblLook w:val="04A0" w:firstRow="1" w:lastRow="0" w:firstColumn="1" w:lastColumn="0" w:noHBand="0" w:noVBand="1"/>
      </w:tblPr>
      <w:tblGrid>
        <w:gridCol w:w="3560"/>
        <w:gridCol w:w="6179"/>
        <w:gridCol w:w="3761"/>
      </w:tblGrid>
      <w:tr w:rsidR="00046E7A" w:rsidRPr="00046E7A" w:rsidTr="00046E7A">
        <w:trPr>
          <w:trHeight w:val="975"/>
          <w:tblCellSpacing w:w="0" w:type="dxa"/>
        </w:trPr>
        <w:tc>
          <w:tcPr>
            <w:tcW w:w="3180" w:type="dxa"/>
            <w:vAlign w:val="center"/>
            <w:hideMark/>
          </w:tcPr>
          <w:p w:rsidR="00046E7A" w:rsidRPr="00046E7A" w:rsidRDefault="00046E7A" w:rsidP="00046E7A">
            <w:pPr>
              <w:widowControl/>
              <w:spacing w:line="405" w:lineRule="atLeast"/>
              <w:jc w:val="center"/>
              <w:rPr>
                <w:rFonts w:ascii="微软雅黑" w:eastAsia="微软雅黑" w:hAnsi="微软雅黑" w:cs="宋体"/>
                <w:color w:val="000000"/>
                <w:kern w:val="0"/>
                <w:sz w:val="18"/>
                <w:szCs w:val="18"/>
              </w:rPr>
            </w:pPr>
            <w:r w:rsidRPr="00046E7A">
              <w:rPr>
                <w:rFonts w:ascii="微软雅黑" w:eastAsia="微软雅黑" w:hAnsi="微软雅黑" w:cs="宋体" w:hint="eastAsia"/>
                <w:color w:val="000000"/>
                <w:kern w:val="0"/>
                <w:sz w:val="18"/>
                <w:szCs w:val="18"/>
              </w:rPr>
              <w:t>发布时间： 2018-10-15 10:19:00</w:t>
            </w:r>
          </w:p>
        </w:tc>
        <w:tc>
          <w:tcPr>
            <w:tcW w:w="5520" w:type="dxa"/>
            <w:vAlign w:val="center"/>
            <w:hideMark/>
          </w:tcPr>
          <w:p w:rsidR="00046E7A" w:rsidRPr="00046E7A" w:rsidRDefault="00046E7A" w:rsidP="00046E7A">
            <w:pPr>
              <w:widowControl/>
              <w:spacing w:line="405" w:lineRule="atLeast"/>
              <w:jc w:val="center"/>
              <w:rPr>
                <w:rFonts w:ascii="微软雅黑" w:eastAsia="微软雅黑" w:hAnsi="微软雅黑" w:cs="宋体"/>
                <w:color w:val="000000"/>
                <w:kern w:val="0"/>
                <w:sz w:val="18"/>
                <w:szCs w:val="18"/>
              </w:rPr>
            </w:pPr>
            <w:r w:rsidRPr="00046E7A">
              <w:rPr>
                <w:rFonts w:ascii="微软雅黑" w:eastAsia="微软雅黑" w:hAnsi="微软雅黑" w:cs="宋体" w:hint="eastAsia"/>
                <w:color w:val="000000"/>
                <w:kern w:val="0"/>
                <w:sz w:val="18"/>
                <w:szCs w:val="18"/>
              </w:rPr>
              <w:t>来源： 吉林省科技厅</w:t>
            </w:r>
          </w:p>
        </w:tc>
        <w:tc>
          <w:tcPr>
            <w:tcW w:w="3360" w:type="dxa"/>
            <w:vAlign w:val="center"/>
            <w:hideMark/>
          </w:tcPr>
          <w:p w:rsidR="00046E7A" w:rsidRPr="00046E7A" w:rsidRDefault="00046E7A" w:rsidP="00046E7A">
            <w:pPr>
              <w:widowControl/>
              <w:spacing w:line="405" w:lineRule="atLeast"/>
              <w:jc w:val="center"/>
              <w:rPr>
                <w:rFonts w:ascii="微软雅黑" w:eastAsia="微软雅黑" w:hAnsi="微软雅黑" w:cs="宋体"/>
                <w:color w:val="000000"/>
                <w:kern w:val="0"/>
                <w:sz w:val="18"/>
                <w:szCs w:val="18"/>
              </w:rPr>
            </w:pPr>
            <w:r w:rsidRPr="00046E7A">
              <w:rPr>
                <w:rFonts w:ascii="微软雅黑" w:eastAsia="微软雅黑" w:hAnsi="微软雅黑" w:cs="宋体" w:hint="eastAsia"/>
                <w:color w:val="000000"/>
                <w:kern w:val="0"/>
                <w:szCs w:val="21"/>
                <w:shd w:val="clear" w:color="auto" w:fill="E5E5E5"/>
              </w:rPr>
              <w:t>字体显示：</w:t>
            </w:r>
            <w:hyperlink r:id="rId7" w:history="1">
              <w:r w:rsidRPr="00046E7A">
                <w:rPr>
                  <w:rFonts w:ascii="微软雅黑" w:eastAsia="微软雅黑" w:hAnsi="微软雅黑" w:cs="宋体" w:hint="eastAsia"/>
                  <w:color w:val="000000"/>
                  <w:kern w:val="0"/>
                  <w:sz w:val="18"/>
                  <w:szCs w:val="18"/>
                </w:rPr>
                <w:t>大</w:t>
              </w:r>
            </w:hyperlink>
            <w:r w:rsidRPr="00046E7A">
              <w:rPr>
                <w:rFonts w:ascii="微软雅黑" w:eastAsia="微软雅黑" w:hAnsi="微软雅黑" w:cs="宋体" w:hint="eastAsia"/>
                <w:color w:val="000000"/>
                <w:kern w:val="0"/>
                <w:sz w:val="18"/>
                <w:szCs w:val="18"/>
              </w:rPr>
              <w:t> </w:t>
            </w:r>
            <w:hyperlink r:id="rId8" w:history="1">
              <w:r w:rsidRPr="00046E7A">
                <w:rPr>
                  <w:rFonts w:ascii="微软雅黑" w:eastAsia="微软雅黑" w:hAnsi="微软雅黑" w:cs="宋体" w:hint="eastAsia"/>
                  <w:color w:val="000000"/>
                  <w:kern w:val="0"/>
                  <w:sz w:val="18"/>
                  <w:szCs w:val="18"/>
                </w:rPr>
                <w:t>中</w:t>
              </w:r>
            </w:hyperlink>
            <w:r w:rsidRPr="00046E7A">
              <w:rPr>
                <w:rFonts w:ascii="微软雅黑" w:eastAsia="微软雅黑" w:hAnsi="微软雅黑" w:cs="宋体" w:hint="eastAsia"/>
                <w:color w:val="000000"/>
                <w:kern w:val="0"/>
                <w:sz w:val="18"/>
                <w:szCs w:val="18"/>
              </w:rPr>
              <w:t> </w:t>
            </w:r>
            <w:hyperlink r:id="rId9" w:history="1">
              <w:r w:rsidRPr="00046E7A">
                <w:rPr>
                  <w:rFonts w:ascii="微软雅黑" w:eastAsia="微软雅黑" w:hAnsi="微软雅黑" w:cs="宋体" w:hint="eastAsia"/>
                  <w:color w:val="000000"/>
                  <w:kern w:val="0"/>
                  <w:sz w:val="18"/>
                  <w:szCs w:val="18"/>
                </w:rPr>
                <w:t>小</w:t>
              </w:r>
            </w:hyperlink>
          </w:p>
        </w:tc>
      </w:tr>
    </w:tbl>
    <w:p w:rsidR="00046E7A" w:rsidRPr="00046E7A" w:rsidRDefault="00046E7A" w:rsidP="00046E7A">
      <w:pPr>
        <w:widowControl/>
        <w:jc w:val="left"/>
        <w:rPr>
          <w:rFonts w:ascii="宋体" w:hAnsi="宋体" w:cs="宋体"/>
          <w:vanish/>
          <w:kern w:val="0"/>
          <w:sz w:val="24"/>
          <w:szCs w:val="24"/>
        </w:rPr>
      </w:pPr>
    </w:p>
    <w:tbl>
      <w:tblPr>
        <w:tblW w:w="13500" w:type="dxa"/>
        <w:tblCellSpacing w:w="0" w:type="dxa"/>
        <w:tblCellMar>
          <w:left w:w="0" w:type="dxa"/>
          <w:right w:w="0" w:type="dxa"/>
        </w:tblCellMar>
        <w:tblLook w:val="04A0" w:firstRow="1" w:lastRow="0" w:firstColumn="1" w:lastColumn="0" w:noHBand="0" w:noVBand="1"/>
      </w:tblPr>
      <w:tblGrid>
        <w:gridCol w:w="13500"/>
      </w:tblGrid>
      <w:tr w:rsidR="00046E7A" w:rsidRPr="00046E7A" w:rsidTr="00046E7A">
        <w:trPr>
          <w:tblCellSpacing w:w="0" w:type="dxa"/>
        </w:trPr>
        <w:tc>
          <w:tcPr>
            <w:tcW w:w="0" w:type="auto"/>
            <w:vAlign w:val="center"/>
            <w:hideMark/>
          </w:tcPr>
          <w:p w:rsidR="00046E7A" w:rsidRPr="00046E7A" w:rsidRDefault="00046E7A" w:rsidP="00046E7A">
            <w:pPr>
              <w:widowControl/>
              <w:wordWrap w:val="0"/>
              <w:spacing w:line="405" w:lineRule="atLeast"/>
              <w:jc w:val="center"/>
              <w:rPr>
                <w:rFonts w:ascii="微软雅黑" w:eastAsia="微软雅黑" w:hAnsi="微软雅黑" w:cs="宋体"/>
                <w:color w:val="000000"/>
                <w:kern w:val="0"/>
                <w:sz w:val="27"/>
                <w:szCs w:val="27"/>
              </w:rPr>
            </w:pPr>
            <w:r w:rsidRPr="00046E7A">
              <w:rPr>
                <w:rFonts w:ascii="微软雅黑" w:eastAsia="微软雅黑" w:hAnsi="微软雅黑" w:cs="宋体" w:hint="eastAsia"/>
                <w:color w:val="000000"/>
                <w:kern w:val="0"/>
                <w:sz w:val="27"/>
                <w:szCs w:val="27"/>
              </w:rPr>
              <w:t> </w:t>
            </w:r>
          </w:p>
          <w:p w:rsidR="00046E7A" w:rsidRPr="00046E7A" w:rsidRDefault="00046E7A" w:rsidP="00046E7A">
            <w:pPr>
              <w:widowControl/>
              <w:wordWrap w:val="0"/>
              <w:spacing w:line="520" w:lineRule="atLeast"/>
              <w:jc w:val="left"/>
              <w:rPr>
                <w:rFonts w:ascii="微软雅黑" w:eastAsia="微软雅黑" w:hAnsi="微软雅黑" w:cs="宋体"/>
                <w:color w:val="000000"/>
                <w:kern w:val="0"/>
                <w:sz w:val="27"/>
                <w:szCs w:val="27"/>
              </w:rPr>
            </w:pPr>
            <w:r w:rsidRPr="00046E7A">
              <w:rPr>
                <w:rFonts w:ascii="宋体" w:hAnsi="宋体" w:cs="宋体" w:hint="eastAsia"/>
                <w:color w:val="000000"/>
                <w:kern w:val="0"/>
                <w:sz w:val="28"/>
                <w:szCs w:val="28"/>
              </w:rPr>
              <w:t>各市（州）、县（市、区）科技、财政管理部门，各高新开发区管委会，各有关企业：</w:t>
            </w:r>
          </w:p>
          <w:p w:rsidR="00046E7A" w:rsidRPr="00046E7A" w:rsidRDefault="00046E7A" w:rsidP="00046E7A">
            <w:pPr>
              <w:widowControl/>
              <w:wordWrap w:val="0"/>
              <w:spacing w:line="520" w:lineRule="atLeast"/>
              <w:ind w:firstLine="640"/>
              <w:jc w:val="left"/>
              <w:rPr>
                <w:rFonts w:ascii="微软雅黑" w:eastAsia="微软雅黑" w:hAnsi="微软雅黑" w:cs="宋体"/>
                <w:color w:val="000000"/>
                <w:kern w:val="0"/>
                <w:sz w:val="27"/>
                <w:szCs w:val="27"/>
              </w:rPr>
            </w:pPr>
            <w:r w:rsidRPr="00046E7A">
              <w:rPr>
                <w:rFonts w:ascii="宋体" w:hAnsi="宋体" w:cs="宋体"/>
                <w:color w:val="000000"/>
                <w:kern w:val="0"/>
                <w:sz w:val="28"/>
                <w:szCs w:val="28"/>
              </w:rPr>
              <w:t>为进一步做好科技小巨人企业扶持管理工作，根据《吉林省科技小巨人企业扶持管理办法》，省科学技术厅、省财政厅联合制定了《吉林省科技小巨人企业R&amp;D投入补贴和贷款担保管理工作实施细则》，现印发给你们，望认真贯彻落实。</w:t>
            </w:r>
          </w:p>
        </w:tc>
      </w:tr>
    </w:tbl>
    <w:p w:rsidR="00046E7A" w:rsidRPr="00046E7A" w:rsidRDefault="00046E7A">
      <w:pPr>
        <w:widowControl/>
        <w:spacing w:before="120" w:after="120"/>
        <w:jc w:val="center"/>
        <w:rPr>
          <w:rFonts w:ascii="宋体" w:hAnsi="宋体" w:cs="宋体"/>
          <w:b/>
          <w:bCs/>
          <w:sz w:val="44"/>
          <w:szCs w:val="44"/>
        </w:rPr>
      </w:pPr>
    </w:p>
    <w:p w:rsidR="00046E7A" w:rsidRDefault="00046E7A">
      <w:pPr>
        <w:widowControl/>
        <w:spacing w:before="120" w:after="120"/>
        <w:jc w:val="center"/>
        <w:rPr>
          <w:rFonts w:ascii="宋体" w:hAnsi="宋体" w:cs="宋体"/>
          <w:b/>
          <w:bCs/>
          <w:sz w:val="44"/>
          <w:szCs w:val="44"/>
        </w:rPr>
      </w:pPr>
    </w:p>
    <w:p w:rsidR="004774D1" w:rsidRDefault="00E675C4">
      <w:pPr>
        <w:widowControl/>
        <w:spacing w:before="120" w:after="120"/>
        <w:jc w:val="center"/>
        <w:rPr>
          <w:rFonts w:ascii="宋体" w:hAnsi="宋体" w:cs="宋体"/>
          <w:b/>
          <w:bCs/>
          <w:sz w:val="44"/>
          <w:szCs w:val="44"/>
        </w:rPr>
      </w:pPr>
      <w:r>
        <w:rPr>
          <w:rFonts w:ascii="宋体" w:hAnsi="宋体" w:cs="宋体" w:hint="eastAsia"/>
          <w:b/>
          <w:bCs/>
          <w:sz w:val="44"/>
          <w:szCs w:val="44"/>
        </w:rPr>
        <w:t>吉林省科技小巨人企业R&amp;D投入补贴</w:t>
      </w:r>
    </w:p>
    <w:p w:rsidR="004774D1" w:rsidRDefault="00E675C4">
      <w:pPr>
        <w:widowControl/>
        <w:spacing w:before="120" w:after="120"/>
        <w:jc w:val="center"/>
        <w:rPr>
          <w:rFonts w:ascii="仿宋" w:eastAsia="仿宋" w:hAnsi="仿宋" w:cs="仿宋"/>
          <w:b/>
          <w:bCs/>
          <w:sz w:val="32"/>
          <w:szCs w:val="32"/>
        </w:rPr>
      </w:pPr>
      <w:r>
        <w:rPr>
          <w:rFonts w:ascii="宋体" w:hAnsi="宋体" w:cs="宋体" w:hint="eastAsia"/>
          <w:b/>
          <w:bCs/>
          <w:sz w:val="44"/>
          <w:szCs w:val="44"/>
        </w:rPr>
        <w:t>和贷款担保管理工作实施细则</w:t>
      </w:r>
    </w:p>
    <w:p w:rsidR="004774D1" w:rsidRDefault="004774D1">
      <w:pPr>
        <w:widowControl/>
        <w:spacing w:line="420" w:lineRule="exact"/>
        <w:jc w:val="center"/>
        <w:rPr>
          <w:rFonts w:ascii="仿宋" w:eastAsia="仿宋" w:hAnsi="仿宋" w:cs="仿宋"/>
          <w:bCs/>
          <w:sz w:val="32"/>
          <w:szCs w:val="32"/>
        </w:rPr>
      </w:pPr>
    </w:p>
    <w:p w:rsidR="004774D1" w:rsidRDefault="00E675C4">
      <w:pPr>
        <w:spacing w:line="660" w:lineRule="exact"/>
        <w:ind w:firstLineChars="200" w:firstLine="640"/>
        <w:rPr>
          <w:rFonts w:ascii="仿宋" w:eastAsia="仿宋" w:hAnsi="仿宋"/>
          <w:color w:val="000000"/>
          <w:sz w:val="32"/>
          <w:szCs w:val="32"/>
          <w:shd w:val="clear" w:color="auto" w:fill="FFFFFF"/>
        </w:rPr>
      </w:pPr>
      <w:r>
        <w:rPr>
          <w:rFonts w:ascii="仿宋" w:eastAsia="仿宋" w:hAnsi="仿宋" w:hint="eastAsia"/>
          <w:sz w:val="32"/>
          <w:szCs w:val="32"/>
        </w:rPr>
        <w:t>为做好吉林省科技小巨人企业</w:t>
      </w:r>
      <w:r>
        <w:rPr>
          <w:rFonts w:ascii="仿宋" w:eastAsia="仿宋" w:hAnsi="仿宋" w:cs="黑体" w:hint="eastAsia"/>
          <w:bCs/>
          <w:sz w:val="32"/>
          <w:szCs w:val="32"/>
        </w:rPr>
        <w:t>R&amp;D投入补贴和贷款担保</w:t>
      </w:r>
      <w:r>
        <w:rPr>
          <w:rFonts w:ascii="仿宋" w:eastAsia="仿宋" w:hAnsi="仿宋" w:hint="eastAsia"/>
          <w:sz w:val="32"/>
          <w:szCs w:val="32"/>
        </w:rPr>
        <w:t>管理工作（简称扶持管理工作），根据《</w:t>
      </w:r>
      <w:r>
        <w:rPr>
          <w:rFonts w:ascii="仿宋" w:eastAsia="仿宋" w:hAnsi="仿宋" w:cs="方正小标宋简体" w:hint="eastAsia"/>
          <w:sz w:val="32"/>
          <w:szCs w:val="32"/>
        </w:rPr>
        <w:t>吉林省科技小巨人企业扶持管理办法</w:t>
      </w:r>
      <w:r>
        <w:rPr>
          <w:rFonts w:ascii="仿宋" w:eastAsia="仿宋" w:hAnsi="仿宋" w:hint="eastAsia"/>
          <w:sz w:val="32"/>
          <w:szCs w:val="32"/>
        </w:rPr>
        <w:t>》（</w:t>
      </w:r>
      <w:r>
        <w:rPr>
          <w:rFonts w:ascii="仿宋" w:eastAsia="仿宋" w:hAnsi="仿宋" w:cs="方正小标宋简体" w:hint="eastAsia"/>
          <w:sz w:val="32"/>
          <w:szCs w:val="32"/>
        </w:rPr>
        <w:t>吉科发高〔2017〕122号）精神，结合工作实际，</w:t>
      </w:r>
      <w:r>
        <w:rPr>
          <w:rFonts w:ascii="仿宋" w:eastAsia="仿宋" w:hAnsi="仿宋" w:hint="eastAsia"/>
          <w:color w:val="000000"/>
          <w:sz w:val="32"/>
          <w:szCs w:val="32"/>
          <w:shd w:val="clear" w:color="auto" w:fill="FFFFFF"/>
        </w:rPr>
        <w:t>制定本实施细则。</w:t>
      </w:r>
    </w:p>
    <w:p w:rsidR="004774D1" w:rsidRDefault="004774D1">
      <w:pPr>
        <w:spacing w:line="660" w:lineRule="exact"/>
        <w:ind w:firstLineChars="200" w:firstLine="640"/>
        <w:rPr>
          <w:rFonts w:ascii="仿宋" w:eastAsia="仿宋" w:hAnsi="仿宋"/>
          <w:color w:val="000000"/>
          <w:sz w:val="32"/>
          <w:szCs w:val="32"/>
          <w:shd w:val="clear" w:color="auto" w:fill="FFFFFF"/>
        </w:rPr>
      </w:pPr>
    </w:p>
    <w:p w:rsidR="004774D1" w:rsidRDefault="00E675C4">
      <w:pPr>
        <w:spacing w:line="660" w:lineRule="exact"/>
        <w:jc w:val="center"/>
        <w:rPr>
          <w:rFonts w:ascii="黑体" w:eastAsia="黑体" w:hAnsi="黑体" w:cs="黑体"/>
          <w:bCs/>
          <w:sz w:val="36"/>
          <w:szCs w:val="36"/>
        </w:rPr>
      </w:pPr>
      <w:r>
        <w:rPr>
          <w:rFonts w:ascii="黑体" w:eastAsia="黑体" w:hAnsi="黑体" w:cs="黑体" w:hint="eastAsia"/>
          <w:bCs/>
          <w:sz w:val="36"/>
          <w:szCs w:val="36"/>
        </w:rPr>
        <w:lastRenderedPageBreak/>
        <w:t>第一章  管理职责</w:t>
      </w:r>
    </w:p>
    <w:p w:rsidR="004774D1" w:rsidRDefault="00E675C4">
      <w:pPr>
        <w:spacing w:line="680" w:lineRule="exact"/>
        <w:ind w:firstLine="640"/>
        <w:rPr>
          <w:rFonts w:ascii="仿宋" w:eastAsia="仿宋" w:hAnsi="仿宋" w:cs="黑体"/>
          <w:bCs/>
          <w:sz w:val="32"/>
          <w:szCs w:val="32"/>
        </w:rPr>
      </w:pPr>
      <w:r>
        <w:rPr>
          <w:rFonts w:ascii="仿宋" w:eastAsia="仿宋" w:hAnsi="仿宋" w:cs="黑体" w:hint="eastAsia"/>
          <w:b/>
          <w:sz w:val="32"/>
          <w:szCs w:val="32"/>
        </w:rPr>
        <w:t>第一条</w:t>
      </w:r>
      <w:r>
        <w:rPr>
          <w:rFonts w:ascii="仿宋" w:eastAsia="仿宋" w:hAnsi="仿宋" w:cs="黑体" w:hint="eastAsia"/>
          <w:bCs/>
          <w:sz w:val="32"/>
          <w:szCs w:val="32"/>
        </w:rPr>
        <w:t xml:space="preserve"> </w:t>
      </w:r>
      <w:r>
        <w:rPr>
          <w:rFonts w:ascii="仿宋" w:eastAsia="仿宋" w:hAnsi="仿宋" w:hint="eastAsia"/>
          <w:sz w:val="32"/>
          <w:szCs w:val="32"/>
        </w:rPr>
        <w:t>科技小巨人企业扶持管理工作由省科技厅牵头会同省财政厅等部门共同组织实施，各负其责。</w:t>
      </w:r>
      <w:r>
        <w:rPr>
          <w:rFonts w:ascii="仿宋" w:eastAsia="仿宋" w:hAnsi="仿宋" w:cs="黑体" w:hint="eastAsia"/>
          <w:bCs/>
          <w:sz w:val="32"/>
          <w:szCs w:val="32"/>
        </w:rPr>
        <w:t>采取先评审认定，再给予资金扶持的管理模式。</w:t>
      </w:r>
    </w:p>
    <w:p w:rsidR="004774D1" w:rsidRDefault="00E675C4">
      <w:pPr>
        <w:spacing w:line="680" w:lineRule="exact"/>
        <w:ind w:firstLine="640"/>
        <w:rPr>
          <w:rFonts w:ascii="仿宋" w:eastAsia="仿宋" w:hAnsi="仿宋" w:cs="黑体"/>
          <w:bCs/>
          <w:sz w:val="32"/>
          <w:szCs w:val="32"/>
        </w:rPr>
      </w:pPr>
      <w:r>
        <w:rPr>
          <w:rFonts w:ascii="仿宋" w:eastAsia="仿宋" w:hAnsi="仿宋" w:cs="黑体" w:hint="eastAsia"/>
          <w:b/>
          <w:sz w:val="32"/>
          <w:szCs w:val="32"/>
        </w:rPr>
        <w:t>第二条</w:t>
      </w:r>
      <w:r>
        <w:rPr>
          <w:rFonts w:ascii="仿宋" w:eastAsia="仿宋" w:hAnsi="仿宋" w:cs="黑体" w:hint="eastAsia"/>
          <w:bCs/>
          <w:sz w:val="32"/>
          <w:szCs w:val="32"/>
        </w:rPr>
        <w:t xml:space="preserve"> 省科技厅负责R&amp;D投入补贴工作；</w:t>
      </w:r>
      <w:r>
        <w:rPr>
          <w:rFonts w:ascii="仿宋" w:eastAsia="仿宋" w:hAnsi="仿宋" w:hint="eastAsia"/>
          <w:sz w:val="32"/>
          <w:szCs w:val="32"/>
        </w:rPr>
        <w:t>省财政厅负责贷款担保相关工作。</w:t>
      </w:r>
    </w:p>
    <w:p w:rsidR="004774D1" w:rsidRDefault="00E675C4">
      <w:pPr>
        <w:spacing w:line="680" w:lineRule="exact"/>
        <w:ind w:firstLineChars="200" w:firstLine="643"/>
        <w:jc w:val="left"/>
        <w:rPr>
          <w:rFonts w:ascii="仿宋" w:eastAsia="仿宋" w:hAnsi="仿宋" w:cs="黑体"/>
          <w:bCs/>
          <w:sz w:val="32"/>
          <w:szCs w:val="32"/>
        </w:rPr>
      </w:pPr>
      <w:r>
        <w:rPr>
          <w:rFonts w:ascii="仿宋" w:eastAsia="仿宋" w:hAnsi="仿宋" w:cs="黑体" w:hint="eastAsia"/>
          <w:b/>
          <w:sz w:val="32"/>
          <w:szCs w:val="32"/>
        </w:rPr>
        <w:t>第三条</w:t>
      </w:r>
      <w:r>
        <w:rPr>
          <w:rFonts w:ascii="仿宋" w:eastAsia="仿宋" w:hAnsi="仿宋" w:cs="黑体" w:hint="eastAsia"/>
          <w:bCs/>
          <w:sz w:val="32"/>
          <w:szCs w:val="32"/>
        </w:rPr>
        <w:t xml:space="preserve"> 评审出科技小巨人企业名单要及时向社会公开公示，经最后认定的，颁发“吉林省科技小巨人企业”标牌和</w:t>
      </w:r>
      <w:r>
        <w:rPr>
          <w:rFonts w:ascii="仿宋" w:eastAsia="仿宋" w:hAnsi="仿宋" w:hint="eastAsia"/>
          <w:sz w:val="32"/>
          <w:szCs w:val="32"/>
        </w:rPr>
        <w:t>证书，</w:t>
      </w:r>
      <w:r>
        <w:rPr>
          <w:rFonts w:ascii="仿宋" w:eastAsia="仿宋" w:hAnsi="仿宋" w:cs="黑体" w:hint="eastAsia"/>
          <w:bCs/>
          <w:sz w:val="32"/>
          <w:szCs w:val="32"/>
        </w:rPr>
        <w:t>并给予资金扶持</w:t>
      </w:r>
      <w:r>
        <w:rPr>
          <w:rFonts w:ascii="仿宋" w:eastAsia="仿宋" w:hAnsi="仿宋" w:hint="eastAsia"/>
          <w:sz w:val="32"/>
          <w:szCs w:val="32"/>
        </w:rPr>
        <w:t>。同时，对被认定的</w:t>
      </w:r>
      <w:r>
        <w:rPr>
          <w:rFonts w:ascii="仿宋" w:eastAsia="仿宋" w:hAnsi="仿宋" w:cs="黑体" w:hint="eastAsia"/>
          <w:bCs/>
          <w:sz w:val="32"/>
          <w:szCs w:val="32"/>
        </w:rPr>
        <w:t>科技小巨人企业在</w:t>
      </w:r>
      <w:r>
        <w:rPr>
          <w:rFonts w:ascii="仿宋" w:eastAsia="仿宋" w:hAnsi="仿宋" w:hint="eastAsia"/>
          <w:sz w:val="32"/>
          <w:szCs w:val="32"/>
        </w:rPr>
        <w:t>申报吉林省科技发展计划项目时，给予倾斜支持</w:t>
      </w:r>
      <w:r>
        <w:rPr>
          <w:rFonts w:ascii="仿宋" w:eastAsia="仿宋" w:hAnsi="仿宋"/>
          <w:sz w:val="32"/>
          <w:szCs w:val="32"/>
        </w:rPr>
        <w:t>。</w:t>
      </w:r>
    </w:p>
    <w:p w:rsidR="004774D1" w:rsidRDefault="00E675C4">
      <w:pPr>
        <w:spacing w:line="680" w:lineRule="exact"/>
        <w:ind w:firstLine="640"/>
        <w:rPr>
          <w:rFonts w:ascii="仿宋" w:eastAsia="仿宋" w:hAnsi="仿宋"/>
          <w:kern w:val="0"/>
          <w:sz w:val="32"/>
          <w:szCs w:val="32"/>
        </w:rPr>
      </w:pPr>
      <w:r>
        <w:rPr>
          <w:rFonts w:ascii="仿宋" w:eastAsia="仿宋" w:hAnsi="仿宋" w:hint="eastAsia"/>
          <w:b/>
          <w:bCs/>
          <w:kern w:val="0"/>
          <w:sz w:val="32"/>
          <w:szCs w:val="32"/>
        </w:rPr>
        <w:t>第四条</w:t>
      </w:r>
      <w:r>
        <w:rPr>
          <w:rFonts w:ascii="仿宋" w:eastAsia="仿宋" w:hAnsi="仿宋" w:hint="eastAsia"/>
          <w:kern w:val="0"/>
          <w:sz w:val="32"/>
          <w:szCs w:val="32"/>
        </w:rPr>
        <w:t xml:space="preserve"> 确立协商会议制度。对科技小巨人企业扶持管理工作过程中，需集体明确的事项，由省科技厅牵头组织省财政厅等部门召开协商会共同研究决定，并形成协商会议纪要。所研究决定事项通过当年科技小巨人企业申报通知予以告知。</w:t>
      </w:r>
    </w:p>
    <w:p w:rsidR="004774D1" w:rsidRDefault="004774D1">
      <w:pPr>
        <w:spacing w:line="680" w:lineRule="exact"/>
        <w:jc w:val="left"/>
        <w:rPr>
          <w:rFonts w:ascii="仿宋" w:eastAsia="仿宋" w:hAnsi="仿宋"/>
          <w:sz w:val="32"/>
          <w:szCs w:val="32"/>
        </w:rPr>
      </w:pPr>
    </w:p>
    <w:p w:rsidR="004774D1" w:rsidRDefault="00E675C4">
      <w:pPr>
        <w:numPr>
          <w:ilvl w:val="0"/>
          <w:numId w:val="1"/>
        </w:numPr>
        <w:spacing w:line="660" w:lineRule="exact"/>
        <w:jc w:val="center"/>
        <w:rPr>
          <w:rFonts w:ascii="黑体" w:eastAsia="黑体" w:hAnsi="黑体" w:cs="黑体"/>
          <w:sz w:val="36"/>
          <w:szCs w:val="36"/>
        </w:rPr>
      </w:pPr>
      <w:r>
        <w:rPr>
          <w:rFonts w:ascii="黑体" w:eastAsia="黑体" w:hAnsi="黑体" w:cs="黑体" w:hint="eastAsia"/>
          <w:bCs/>
          <w:sz w:val="36"/>
          <w:szCs w:val="36"/>
        </w:rPr>
        <w:t xml:space="preserve"> </w:t>
      </w:r>
      <w:r>
        <w:rPr>
          <w:rFonts w:ascii="黑体" w:eastAsia="黑体" w:hAnsi="黑体" w:cs="黑体" w:hint="eastAsia"/>
          <w:sz w:val="36"/>
          <w:szCs w:val="36"/>
        </w:rPr>
        <w:t>扶持标准</w:t>
      </w:r>
    </w:p>
    <w:p w:rsidR="004774D1" w:rsidRDefault="00E675C4">
      <w:pPr>
        <w:spacing w:line="660" w:lineRule="exact"/>
        <w:ind w:firstLineChars="200" w:firstLine="643"/>
        <w:rPr>
          <w:rFonts w:ascii="仿宋" w:eastAsia="仿宋" w:hAnsi="仿宋"/>
          <w:sz w:val="32"/>
          <w:szCs w:val="32"/>
        </w:rPr>
      </w:pPr>
      <w:r>
        <w:rPr>
          <w:rFonts w:ascii="仿宋" w:eastAsia="仿宋" w:hAnsi="仿宋" w:hint="eastAsia"/>
          <w:b/>
          <w:sz w:val="32"/>
          <w:szCs w:val="32"/>
        </w:rPr>
        <w:t>第五条</w:t>
      </w:r>
      <w:r>
        <w:rPr>
          <w:rFonts w:ascii="仿宋" w:eastAsia="仿宋" w:hAnsi="仿宋" w:cs="黑体" w:hint="eastAsia"/>
          <w:b/>
          <w:sz w:val="32"/>
          <w:szCs w:val="32"/>
        </w:rPr>
        <w:t xml:space="preserve"> </w:t>
      </w:r>
      <w:r>
        <w:rPr>
          <w:rFonts w:ascii="仿宋" w:eastAsia="仿宋" w:hAnsi="仿宋" w:cs="黑体" w:hint="eastAsia"/>
          <w:bCs/>
          <w:sz w:val="32"/>
          <w:szCs w:val="32"/>
        </w:rPr>
        <w:t>按照现有资金规模，2019年起，对当年认定的科技小巨人企业给予一次性</w:t>
      </w:r>
      <w:r>
        <w:rPr>
          <w:rFonts w:ascii="仿宋" w:eastAsia="仿宋" w:hAnsi="仿宋" w:cs="仿宋" w:hint="eastAsia"/>
          <w:sz w:val="32"/>
          <w:szCs w:val="32"/>
        </w:rPr>
        <w:t>R&amp;D投入补贴和贷款担保扶</w:t>
      </w:r>
      <w:r>
        <w:rPr>
          <w:rFonts w:ascii="仿宋" w:eastAsia="仿宋" w:hAnsi="仿宋" w:cs="黑体" w:hint="eastAsia"/>
          <w:bCs/>
          <w:sz w:val="32"/>
          <w:szCs w:val="32"/>
        </w:rPr>
        <w:t>持</w:t>
      </w:r>
      <w:r>
        <w:rPr>
          <w:rFonts w:ascii="仿宋" w:eastAsia="仿宋" w:hAnsi="仿宋" w:hint="eastAsia"/>
          <w:sz w:val="32"/>
          <w:szCs w:val="32"/>
        </w:rPr>
        <w:t>。</w:t>
      </w:r>
    </w:p>
    <w:p w:rsidR="004774D1" w:rsidRDefault="00E675C4">
      <w:pPr>
        <w:ind w:firstLineChars="200" w:firstLine="643"/>
        <w:rPr>
          <w:rFonts w:ascii="仿宋" w:eastAsia="仿宋" w:hAnsi="仿宋" w:cs="仿宋"/>
          <w:sz w:val="32"/>
          <w:szCs w:val="32"/>
        </w:rPr>
      </w:pPr>
      <w:r>
        <w:rPr>
          <w:rFonts w:ascii="仿宋" w:eastAsia="仿宋" w:hAnsi="仿宋" w:hint="eastAsia"/>
          <w:b/>
          <w:bCs/>
          <w:sz w:val="32"/>
          <w:szCs w:val="32"/>
        </w:rPr>
        <w:t xml:space="preserve">第六条 </w:t>
      </w:r>
      <w:r>
        <w:rPr>
          <w:rFonts w:ascii="仿宋" w:eastAsia="仿宋" w:hAnsi="仿宋"/>
          <w:sz w:val="32"/>
          <w:szCs w:val="32"/>
        </w:rPr>
        <w:t>R&amp;D投入补贴</w:t>
      </w:r>
      <w:r>
        <w:rPr>
          <w:rFonts w:ascii="仿宋" w:eastAsia="仿宋" w:hAnsi="仿宋" w:hint="eastAsia"/>
          <w:sz w:val="32"/>
          <w:szCs w:val="32"/>
        </w:rPr>
        <w:t>。科技小巨人企业</w:t>
      </w:r>
      <w:r>
        <w:rPr>
          <w:rFonts w:ascii="仿宋" w:eastAsia="仿宋" w:hAnsi="仿宋"/>
          <w:sz w:val="32"/>
          <w:szCs w:val="32"/>
        </w:rPr>
        <w:t>R&amp;D投入补贴</w:t>
      </w:r>
      <w:r>
        <w:rPr>
          <w:rFonts w:ascii="仿宋" w:eastAsia="仿宋" w:hAnsi="仿宋" w:hint="eastAsia"/>
          <w:sz w:val="32"/>
          <w:szCs w:val="32"/>
        </w:rPr>
        <w:t>扶持</w:t>
      </w:r>
      <w:r>
        <w:rPr>
          <w:rFonts w:ascii="仿宋" w:eastAsia="仿宋" w:hAnsi="仿宋" w:hint="eastAsia"/>
          <w:sz w:val="32"/>
          <w:szCs w:val="32"/>
        </w:rPr>
        <w:lastRenderedPageBreak/>
        <w:t>标准</w:t>
      </w:r>
      <w:r>
        <w:rPr>
          <w:rFonts w:ascii="仿宋" w:eastAsia="仿宋" w:hAnsi="仿宋" w:cs="仿宋" w:hint="eastAsia"/>
          <w:sz w:val="32"/>
          <w:szCs w:val="32"/>
        </w:rPr>
        <w:t>为2万元×</w:t>
      </w:r>
      <w:r>
        <w:rPr>
          <w:rFonts w:ascii="仿宋" w:eastAsia="仿宋" w:hAnsi="仿宋" w:cs="仿宋"/>
          <w:sz w:val="28"/>
          <w:szCs w:val="28"/>
        </w:rPr>
        <w:fldChar w:fldCharType="begin"/>
      </w:r>
      <w:r>
        <w:rPr>
          <w:rFonts w:ascii="仿宋" w:eastAsia="仿宋" w:hAnsi="仿宋" w:cs="仿宋"/>
          <w:sz w:val="28"/>
          <w:szCs w:val="28"/>
        </w:rPr>
        <w:instrText xml:space="preserve"> QUOTE </w:instrText>
      </w:r>
      <w:r w:rsidR="009417C5">
        <w:rPr>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0.25pt;height:46.5pt;mso-wrap-style:square;mso-position-horizontal-relative:page;mso-position-vertical-relative:page">
            <v:imagedata r:id="rId10" o:title="" chromakey="white"/>
          </v:shape>
        </w:pict>
      </w:r>
      <w:r>
        <w:rPr>
          <w:rFonts w:ascii="仿宋" w:eastAsia="仿宋" w:hAnsi="仿宋" w:cs="仿宋"/>
          <w:sz w:val="28"/>
          <w:szCs w:val="28"/>
        </w:rPr>
        <w:instrText xml:space="preserve"> </w:instrText>
      </w:r>
      <w:r>
        <w:rPr>
          <w:rFonts w:ascii="仿宋" w:eastAsia="仿宋" w:hAnsi="仿宋" w:cs="仿宋"/>
          <w:sz w:val="28"/>
          <w:szCs w:val="28"/>
        </w:rPr>
        <w:fldChar w:fldCharType="separate"/>
      </w:r>
      <w:r w:rsidR="009417C5">
        <w:rPr>
          <w:position w:val="-32"/>
        </w:rPr>
        <w:pict>
          <v:shape id="Picture 2" o:spid="_x0000_i1026" type="#_x0000_t75" style="width:140.25pt;height:46.5pt;mso-wrap-style:square;mso-position-horizontal-relative:page;mso-position-vertical-relative:page">
            <v:imagedata r:id="rId10" o:title="" chromakey="white"/>
          </v:shape>
        </w:pict>
      </w:r>
      <w:r>
        <w:rPr>
          <w:rFonts w:ascii="仿宋" w:eastAsia="仿宋" w:hAnsi="仿宋" w:cs="仿宋"/>
          <w:sz w:val="28"/>
          <w:szCs w:val="28"/>
        </w:rPr>
        <w:fldChar w:fldCharType="end"/>
      </w:r>
      <w:r>
        <w:rPr>
          <w:rFonts w:ascii="仿宋" w:eastAsia="仿宋" w:hAnsi="仿宋" w:cs="仿宋" w:hint="eastAsia"/>
          <w:sz w:val="28"/>
          <w:szCs w:val="28"/>
        </w:rPr>
        <w:t>，</w:t>
      </w:r>
      <w:r>
        <w:rPr>
          <w:rFonts w:ascii="仿宋" w:eastAsia="仿宋" w:hAnsi="仿宋" w:hint="eastAsia"/>
          <w:sz w:val="32"/>
          <w:szCs w:val="32"/>
        </w:rPr>
        <w:t>补贴总额最低10万元，最高不超过60万元。</w:t>
      </w:r>
    </w:p>
    <w:p w:rsidR="004774D1" w:rsidRDefault="00E675C4">
      <w:pPr>
        <w:ind w:firstLineChars="200" w:firstLine="643"/>
        <w:rPr>
          <w:rFonts w:ascii="仿宋_GB2312" w:eastAsia="仿宋_GB2312" w:hAnsi="仿宋_GB2312" w:cs="仿宋_GB2312"/>
          <w:sz w:val="32"/>
          <w:szCs w:val="32"/>
        </w:rPr>
      </w:pPr>
      <w:r>
        <w:rPr>
          <w:rFonts w:ascii="仿宋" w:eastAsia="仿宋" w:hAnsi="仿宋" w:hint="eastAsia"/>
          <w:b/>
          <w:bCs/>
          <w:sz w:val="32"/>
          <w:szCs w:val="32"/>
        </w:rPr>
        <w:t xml:space="preserve">第七条 </w:t>
      </w:r>
      <w:r>
        <w:rPr>
          <w:rFonts w:ascii="仿宋_GB2312" w:eastAsia="仿宋_GB2312" w:hAnsi="仿宋_GB2312" w:cs="仿宋_GB2312" w:hint="eastAsia"/>
          <w:sz w:val="32"/>
          <w:szCs w:val="32"/>
        </w:rPr>
        <w:t>贷款担保。具体委托吉林省科技融资担保有限公司对科技小巨人企业提供融资担保扶持。</w:t>
      </w:r>
      <w:bookmarkStart w:id="0" w:name="_GoBack"/>
      <w:bookmarkEnd w:id="0"/>
    </w:p>
    <w:p w:rsidR="004774D1" w:rsidRDefault="00E675C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由吉林省科技融资担保有限公司组织专家委员会对申请贷款担保的科技小巨人企业进行财务评定，评定分为A、B两级。对科技小巨人企业财务评定为A级且无不良信用记录、无其他债务诉讼风险的科技小巨人企业建立融资担保绿色通道，结合金融机构的授信情况，考虑适合的反担保措施，由担保公司按程序提供贷款担保服务；对科技小巨人企业财务评定为B级的科技小巨人企业需由担保公司建立项目储备库，对企业进行定期跟踪，适时尽职调查，设计严格的风控方案，在风控等相关措施落实后，经专家评审委员会评审再确定是否给予融资担保支持。</w:t>
      </w:r>
    </w:p>
    <w:p w:rsidR="004774D1" w:rsidRDefault="00E675C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2、担保费一律按不高于贷款担保额的1.5%收取。</w:t>
      </w:r>
    </w:p>
    <w:p w:rsidR="004774D1" w:rsidRDefault="00E675C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3、对科技小巨人企业提供融资担保，单户企业担保额度原则上不超过500万元，对于规模较大发展态势良好的企业需增加额度的，要另行提交专家评审委员会审定。</w:t>
      </w:r>
    </w:p>
    <w:p w:rsidR="004774D1" w:rsidRDefault="00E675C4">
      <w:pPr>
        <w:spacing w:line="660" w:lineRule="exact"/>
        <w:ind w:firstLineChars="200" w:firstLine="643"/>
        <w:jc w:val="left"/>
        <w:rPr>
          <w:rFonts w:ascii="仿宋" w:eastAsia="仿宋" w:hAnsi="仿宋" w:cs="仿宋_GB2312"/>
          <w:sz w:val="32"/>
          <w:szCs w:val="32"/>
        </w:rPr>
      </w:pPr>
      <w:r>
        <w:rPr>
          <w:rFonts w:ascii="仿宋" w:eastAsia="仿宋" w:hAnsi="仿宋"/>
          <w:b/>
          <w:sz w:val="32"/>
          <w:szCs w:val="32"/>
        </w:rPr>
        <w:t>第</w:t>
      </w:r>
      <w:r>
        <w:rPr>
          <w:rFonts w:ascii="仿宋" w:eastAsia="仿宋" w:hAnsi="仿宋" w:hint="eastAsia"/>
          <w:b/>
          <w:sz w:val="32"/>
          <w:szCs w:val="32"/>
        </w:rPr>
        <w:t>八</w:t>
      </w:r>
      <w:r>
        <w:rPr>
          <w:rFonts w:ascii="仿宋" w:eastAsia="仿宋" w:hAnsi="仿宋"/>
          <w:b/>
          <w:sz w:val="32"/>
          <w:szCs w:val="32"/>
        </w:rPr>
        <w:t>条</w:t>
      </w:r>
      <w:r>
        <w:rPr>
          <w:rFonts w:ascii="仿宋" w:eastAsia="仿宋" w:hAnsi="仿宋" w:hint="eastAsia"/>
          <w:b/>
          <w:sz w:val="32"/>
          <w:szCs w:val="32"/>
        </w:rPr>
        <w:t xml:space="preserve"> </w:t>
      </w:r>
      <w:r>
        <w:rPr>
          <w:rFonts w:ascii="仿宋" w:eastAsia="仿宋" w:hAnsi="仿宋" w:cs="仿宋_GB2312" w:hint="eastAsia"/>
          <w:sz w:val="32"/>
          <w:szCs w:val="32"/>
        </w:rPr>
        <w:t>申报和扶持要求：</w:t>
      </w:r>
    </w:p>
    <w:p w:rsidR="004774D1" w:rsidRDefault="00E675C4">
      <w:pPr>
        <w:adjustRightInd w:val="0"/>
        <w:snapToGrid w:val="0"/>
        <w:spacing w:line="680" w:lineRule="exact"/>
        <w:ind w:firstLineChars="200" w:firstLine="640"/>
        <w:rPr>
          <w:rFonts w:ascii="仿宋" w:eastAsia="仿宋" w:hAnsi="仿宋"/>
          <w:color w:val="000000"/>
          <w:sz w:val="32"/>
          <w:szCs w:val="32"/>
        </w:rPr>
      </w:pPr>
      <w:r>
        <w:rPr>
          <w:rFonts w:ascii="仿宋" w:eastAsia="仿宋" w:hAnsi="仿宋" w:hint="eastAsia"/>
          <w:sz w:val="32"/>
          <w:szCs w:val="32"/>
        </w:rPr>
        <w:t>1、每年6月10日前，由省科技厅会同省财政厅等部门</w:t>
      </w:r>
      <w:r>
        <w:rPr>
          <w:rFonts w:ascii="仿宋" w:eastAsia="仿宋" w:hAnsi="仿宋" w:hint="eastAsia"/>
          <w:color w:val="000000"/>
          <w:sz w:val="32"/>
          <w:szCs w:val="32"/>
        </w:rPr>
        <w:t>印发科技小巨人企业扶持资金申报通知，组织做好申报工作。</w:t>
      </w:r>
    </w:p>
    <w:p w:rsidR="004774D1" w:rsidRDefault="00E675C4">
      <w:pPr>
        <w:adjustRightInd w:val="0"/>
        <w:snapToGrid w:val="0"/>
        <w:spacing w:line="680" w:lineRule="exact"/>
        <w:ind w:firstLineChars="200" w:firstLine="640"/>
        <w:rPr>
          <w:rFonts w:ascii="仿宋" w:eastAsia="仿宋" w:hAnsi="仿宋"/>
          <w:sz w:val="32"/>
          <w:szCs w:val="32"/>
        </w:rPr>
      </w:pPr>
      <w:r>
        <w:rPr>
          <w:rFonts w:ascii="仿宋" w:eastAsia="仿宋" w:hAnsi="仿宋" w:hint="eastAsia"/>
          <w:color w:val="000000"/>
          <w:sz w:val="32"/>
          <w:szCs w:val="32"/>
        </w:rPr>
        <w:lastRenderedPageBreak/>
        <w:t>2、</w:t>
      </w:r>
      <w:r>
        <w:rPr>
          <w:rFonts w:ascii="仿宋" w:eastAsia="仿宋" w:hAnsi="仿宋" w:hint="eastAsia"/>
          <w:bCs/>
          <w:sz w:val="32"/>
          <w:szCs w:val="32"/>
        </w:rPr>
        <w:t>科技小巨人企业扶持</w:t>
      </w:r>
      <w:r>
        <w:rPr>
          <w:rFonts w:ascii="仿宋" w:eastAsia="仿宋" w:hAnsi="仿宋" w:hint="eastAsia"/>
          <w:sz w:val="32"/>
          <w:szCs w:val="32"/>
        </w:rPr>
        <w:t>资金申报。只需报送纸质申报材料，由各市（州）、</w:t>
      </w:r>
      <w:r>
        <w:rPr>
          <w:rFonts w:ascii="仿宋" w:eastAsia="仿宋" w:hAnsi="仿宋" w:hint="eastAsia"/>
          <w:spacing w:val="-4"/>
          <w:sz w:val="32"/>
          <w:szCs w:val="32"/>
        </w:rPr>
        <w:t>省管县、国家级高新区职能部门</w:t>
      </w:r>
      <w:r>
        <w:rPr>
          <w:rFonts w:ascii="仿宋" w:eastAsia="仿宋" w:hAnsi="仿宋" w:hint="eastAsia"/>
          <w:sz w:val="32"/>
          <w:szCs w:val="32"/>
        </w:rPr>
        <w:t>逐级统一报送。</w:t>
      </w:r>
      <w:r>
        <w:rPr>
          <w:rFonts w:ascii="仿宋" w:eastAsia="仿宋" w:hAnsi="仿宋"/>
          <w:sz w:val="32"/>
          <w:szCs w:val="32"/>
        </w:rPr>
        <w:t>R&amp;D投入补贴</w:t>
      </w:r>
      <w:r>
        <w:rPr>
          <w:rFonts w:ascii="仿宋" w:eastAsia="仿宋" w:hAnsi="仿宋" w:hint="eastAsia"/>
          <w:sz w:val="32"/>
          <w:szCs w:val="32"/>
        </w:rPr>
        <w:t>申请材料</w:t>
      </w:r>
      <w:r>
        <w:rPr>
          <w:rFonts w:ascii="仿宋" w:eastAsia="仿宋" w:hAnsi="仿宋" w:hint="eastAsia"/>
          <w:spacing w:val="-4"/>
          <w:sz w:val="32"/>
          <w:szCs w:val="32"/>
        </w:rPr>
        <w:t>统一</w:t>
      </w:r>
      <w:r>
        <w:rPr>
          <w:rFonts w:ascii="仿宋" w:eastAsia="仿宋" w:hAnsi="仿宋" w:hint="eastAsia"/>
          <w:sz w:val="32"/>
          <w:szCs w:val="32"/>
        </w:rPr>
        <w:t>报送至省科技厅；贷款担保申请材料统一报送</w:t>
      </w:r>
      <w:r>
        <w:rPr>
          <w:rFonts w:ascii="仿宋_GB2312" w:eastAsia="仿宋_GB2312" w:hAnsi="仿宋_GB2312" w:cs="仿宋_GB2312" w:hint="eastAsia"/>
          <w:sz w:val="32"/>
          <w:szCs w:val="32"/>
        </w:rPr>
        <w:t>吉林省科技融资担保有限公司</w:t>
      </w:r>
      <w:r>
        <w:rPr>
          <w:rFonts w:ascii="仿宋" w:eastAsia="仿宋" w:hAnsi="仿宋" w:hint="eastAsia"/>
          <w:sz w:val="32"/>
          <w:szCs w:val="32"/>
        </w:rPr>
        <w:t>。</w:t>
      </w:r>
    </w:p>
    <w:p w:rsidR="004774D1" w:rsidRDefault="00E675C4">
      <w:pPr>
        <w:adjustRightInd w:val="0"/>
        <w:snapToGrid w:val="0"/>
        <w:spacing w:line="680" w:lineRule="exact"/>
        <w:ind w:firstLineChars="200" w:firstLine="640"/>
        <w:rPr>
          <w:rFonts w:ascii="仿宋" w:eastAsia="仿宋" w:hAnsi="仿宋"/>
          <w:sz w:val="32"/>
          <w:szCs w:val="32"/>
        </w:rPr>
      </w:pPr>
      <w:r>
        <w:rPr>
          <w:rFonts w:ascii="仿宋" w:eastAsia="仿宋" w:hAnsi="仿宋" w:hint="eastAsia"/>
          <w:sz w:val="32"/>
          <w:szCs w:val="32"/>
        </w:rPr>
        <w:t>3、省科技厅和</w:t>
      </w:r>
      <w:r>
        <w:rPr>
          <w:rFonts w:ascii="仿宋_GB2312" w:eastAsia="仿宋_GB2312" w:hAnsi="仿宋_GB2312" w:cs="仿宋_GB2312" w:hint="eastAsia"/>
          <w:sz w:val="32"/>
          <w:szCs w:val="32"/>
        </w:rPr>
        <w:t>吉林省科技融资担保有限公司</w:t>
      </w:r>
      <w:r>
        <w:rPr>
          <w:rFonts w:ascii="仿宋" w:eastAsia="仿宋" w:hAnsi="仿宋" w:hint="eastAsia"/>
          <w:sz w:val="32"/>
          <w:szCs w:val="32"/>
        </w:rPr>
        <w:t>分别负责组织第三方评审机构（或专家）对申报材料进行评审，根据现有资金规模和相应的支持标准，科学、合理确定扶持资金额度和担保业务。扶持资金于每年</w:t>
      </w:r>
      <w:r>
        <w:rPr>
          <w:rFonts w:ascii="仿宋" w:eastAsia="仿宋" w:hAnsi="仿宋" w:hint="eastAsia"/>
          <w:color w:val="000000"/>
          <w:sz w:val="32"/>
          <w:szCs w:val="32"/>
        </w:rPr>
        <w:t>9月30日前</w:t>
      </w:r>
      <w:r>
        <w:rPr>
          <w:rFonts w:ascii="仿宋" w:eastAsia="仿宋" w:hAnsi="仿宋" w:hint="eastAsia"/>
          <w:sz w:val="32"/>
          <w:szCs w:val="32"/>
        </w:rPr>
        <w:t>拨付完毕。</w:t>
      </w:r>
    </w:p>
    <w:p w:rsidR="004774D1" w:rsidRDefault="004774D1">
      <w:pPr>
        <w:adjustRightInd w:val="0"/>
        <w:snapToGrid w:val="0"/>
        <w:spacing w:line="680" w:lineRule="exact"/>
        <w:ind w:firstLineChars="200" w:firstLine="640"/>
        <w:rPr>
          <w:rFonts w:ascii="仿宋" w:eastAsia="仿宋" w:hAnsi="仿宋"/>
          <w:sz w:val="32"/>
          <w:szCs w:val="32"/>
        </w:rPr>
      </w:pPr>
    </w:p>
    <w:p w:rsidR="004774D1" w:rsidRDefault="00E675C4">
      <w:pPr>
        <w:spacing w:line="660" w:lineRule="exact"/>
        <w:jc w:val="center"/>
        <w:rPr>
          <w:rFonts w:ascii="黑体" w:eastAsia="黑体" w:hAnsi="黑体" w:cs="黑体"/>
          <w:b/>
          <w:sz w:val="32"/>
          <w:szCs w:val="32"/>
        </w:rPr>
      </w:pPr>
      <w:r>
        <w:rPr>
          <w:rFonts w:ascii="黑体" w:eastAsia="黑体" w:hAnsi="黑体" w:hint="eastAsia"/>
          <w:bCs/>
          <w:sz w:val="36"/>
          <w:szCs w:val="36"/>
        </w:rPr>
        <w:t xml:space="preserve">第四章  </w:t>
      </w:r>
      <w:r>
        <w:rPr>
          <w:rFonts w:ascii="黑体" w:eastAsia="黑体" w:hAnsi="黑体" w:cs="黑体" w:hint="eastAsia"/>
          <w:bCs/>
          <w:sz w:val="36"/>
          <w:szCs w:val="36"/>
        </w:rPr>
        <w:t>监督管理</w:t>
      </w:r>
    </w:p>
    <w:p w:rsidR="004774D1" w:rsidRDefault="00E675C4">
      <w:pPr>
        <w:pStyle w:val="a6"/>
        <w:ind w:firstLineChars="200" w:firstLine="643"/>
        <w:rPr>
          <w:rFonts w:ascii="仿宋_GB2312" w:eastAsia="仿宋_GB2312" w:hAnsi="Times New Roman"/>
          <w:bCs/>
          <w:sz w:val="32"/>
          <w:szCs w:val="32"/>
        </w:rPr>
      </w:pPr>
      <w:r>
        <w:rPr>
          <w:rFonts w:ascii="仿宋_GB2312" w:eastAsia="仿宋_GB2312" w:hAnsi="Times New Roman" w:hint="eastAsia"/>
          <w:b/>
          <w:sz w:val="32"/>
          <w:szCs w:val="32"/>
        </w:rPr>
        <w:t>第九条</w:t>
      </w:r>
      <w:r>
        <w:rPr>
          <w:rFonts w:ascii="仿宋_GB2312" w:eastAsia="仿宋_GB2312" w:hAnsi="Times New Roman" w:hint="eastAsia"/>
          <w:bCs/>
          <w:sz w:val="32"/>
          <w:szCs w:val="32"/>
        </w:rPr>
        <w:t xml:space="preserve"> 科技小巨人企业要如实编写申报材料，对提供的材料真实性、有效性负责。同时，要积极配合接受相关部门的监督检查，发现问题及时整改和处理。</w:t>
      </w:r>
    </w:p>
    <w:p w:rsidR="004774D1" w:rsidRDefault="00E675C4">
      <w:pPr>
        <w:spacing w:line="660" w:lineRule="exact"/>
        <w:ind w:firstLine="640"/>
        <w:rPr>
          <w:rFonts w:ascii="仿宋_GB2312" w:eastAsia="仿宋_GB2312"/>
          <w:bCs/>
          <w:sz w:val="32"/>
          <w:szCs w:val="32"/>
        </w:rPr>
      </w:pPr>
      <w:r>
        <w:rPr>
          <w:rFonts w:ascii="仿宋_GB2312" w:eastAsia="仿宋_GB2312" w:hint="eastAsia"/>
          <w:b/>
          <w:sz w:val="32"/>
          <w:szCs w:val="32"/>
        </w:rPr>
        <w:t>第十条</w:t>
      </w:r>
      <w:r>
        <w:rPr>
          <w:rFonts w:ascii="仿宋_GB2312" w:eastAsia="仿宋_GB2312" w:hint="eastAsia"/>
          <w:bCs/>
          <w:sz w:val="32"/>
          <w:szCs w:val="32"/>
        </w:rPr>
        <w:t xml:space="preserve"> 各级相关职能部门要严格执行管理规定，对违反国家和省有关规定的要追究相应责任，并视情况提请同级政府行政问责，涉嫌违法犯罪的，移送司法机关处理。</w:t>
      </w:r>
    </w:p>
    <w:p w:rsidR="004774D1" w:rsidRDefault="004774D1">
      <w:pPr>
        <w:spacing w:line="660" w:lineRule="exact"/>
        <w:ind w:firstLine="640"/>
        <w:rPr>
          <w:rFonts w:ascii="仿宋_GB2312" w:eastAsia="仿宋_GB2312"/>
          <w:bCs/>
          <w:sz w:val="32"/>
          <w:szCs w:val="32"/>
        </w:rPr>
      </w:pPr>
    </w:p>
    <w:p w:rsidR="004774D1" w:rsidRDefault="00E675C4">
      <w:pPr>
        <w:widowControl/>
        <w:numPr>
          <w:ilvl w:val="0"/>
          <w:numId w:val="2"/>
        </w:numPr>
        <w:spacing w:line="660" w:lineRule="exact"/>
        <w:jc w:val="center"/>
        <w:rPr>
          <w:rFonts w:ascii="黑体" w:eastAsia="黑体" w:hAnsi="黑体" w:cs="黑体"/>
          <w:bCs/>
          <w:sz w:val="36"/>
          <w:szCs w:val="36"/>
        </w:rPr>
      </w:pPr>
      <w:r>
        <w:rPr>
          <w:rFonts w:ascii="黑体" w:eastAsia="黑体" w:hAnsi="黑体" w:cs="黑体" w:hint="eastAsia"/>
          <w:bCs/>
          <w:sz w:val="36"/>
          <w:szCs w:val="36"/>
        </w:rPr>
        <w:t xml:space="preserve"> 附  则</w:t>
      </w:r>
    </w:p>
    <w:p w:rsidR="004774D1" w:rsidRDefault="00E675C4">
      <w:pPr>
        <w:widowControl/>
        <w:spacing w:line="660" w:lineRule="exact"/>
        <w:ind w:firstLine="643"/>
        <w:rPr>
          <w:rFonts w:ascii="仿宋" w:eastAsia="仿宋" w:hAnsi="仿宋"/>
          <w:sz w:val="32"/>
          <w:szCs w:val="32"/>
        </w:rPr>
      </w:pPr>
      <w:r>
        <w:rPr>
          <w:rFonts w:ascii="仿宋" w:eastAsia="仿宋" w:hAnsi="仿宋" w:cs="黑体" w:hint="eastAsia"/>
          <w:b/>
          <w:sz w:val="32"/>
          <w:szCs w:val="32"/>
        </w:rPr>
        <w:lastRenderedPageBreak/>
        <w:t>第十一条</w:t>
      </w:r>
      <w:r>
        <w:rPr>
          <w:rFonts w:ascii="仿宋" w:eastAsia="仿宋" w:hAnsi="仿宋" w:cs="黑体" w:hint="eastAsia"/>
          <w:sz w:val="32"/>
          <w:szCs w:val="32"/>
        </w:rPr>
        <w:t xml:space="preserve"> </w:t>
      </w:r>
      <w:r>
        <w:rPr>
          <w:rFonts w:ascii="仿宋" w:eastAsia="仿宋" w:hAnsi="仿宋" w:cs="仿宋_GB2312" w:hint="eastAsia"/>
          <w:sz w:val="32"/>
          <w:szCs w:val="32"/>
        </w:rPr>
        <w:t>本细则由吉林省科学技术厅、吉林省财政厅按职责分工负责解释。</w:t>
      </w:r>
    </w:p>
    <w:p w:rsidR="004774D1" w:rsidRDefault="00E675C4">
      <w:pPr>
        <w:ind w:firstLineChars="200" w:firstLine="643"/>
      </w:pPr>
      <w:r>
        <w:rPr>
          <w:rFonts w:ascii="仿宋" w:eastAsia="仿宋" w:hAnsi="仿宋" w:cs="黑体" w:hint="eastAsia"/>
          <w:b/>
          <w:sz w:val="32"/>
          <w:szCs w:val="32"/>
        </w:rPr>
        <w:t>第十二条</w:t>
      </w:r>
      <w:r>
        <w:rPr>
          <w:rFonts w:ascii="仿宋" w:eastAsia="仿宋" w:hAnsi="仿宋"/>
          <w:sz w:val="32"/>
          <w:szCs w:val="32"/>
        </w:rPr>
        <w:t xml:space="preserve"> </w:t>
      </w:r>
      <w:r>
        <w:rPr>
          <w:rFonts w:ascii="仿宋_GB2312" w:eastAsia="仿宋_GB2312" w:hint="eastAsia"/>
          <w:bCs/>
          <w:sz w:val="32"/>
          <w:szCs w:val="32"/>
        </w:rPr>
        <w:t>本细则自</w:t>
      </w:r>
      <w:r>
        <w:rPr>
          <w:rFonts w:ascii="仿宋" w:eastAsia="仿宋" w:hAnsi="仿宋" w:cs="仿宋" w:hint="eastAsia"/>
          <w:color w:val="000000"/>
          <w:sz w:val="32"/>
          <w:szCs w:val="32"/>
        </w:rPr>
        <w:t>印发之日</w:t>
      </w:r>
      <w:r>
        <w:rPr>
          <w:rFonts w:ascii="仿宋_GB2312" w:eastAsia="仿宋_GB2312" w:hint="eastAsia"/>
          <w:bCs/>
          <w:sz w:val="32"/>
          <w:szCs w:val="32"/>
        </w:rPr>
        <w:t>起执行</w:t>
      </w:r>
      <w:r>
        <w:rPr>
          <w:rFonts w:ascii="仿宋" w:eastAsia="仿宋" w:hAnsi="仿宋" w:cs="仿宋_GB2312" w:hint="eastAsia"/>
          <w:sz w:val="32"/>
          <w:szCs w:val="32"/>
        </w:rPr>
        <w:t>。</w:t>
      </w:r>
    </w:p>
    <w:p w:rsidR="004774D1" w:rsidRDefault="004774D1"/>
    <w:p w:rsidR="004774D1" w:rsidRDefault="004774D1">
      <w:pPr>
        <w:spacing w:line="560" w:lineRule="exact"/>
        <w:rPr>
          <w:rFonts w:ascii="仿宋_GB2312" w:eastAsia="仿宋_GB2312" w:cs="方正小标宋简体"/>
          <w:sz w:val="32"/>
          <w:szCs w:val="32"/>
        </w:rPr>
      </w:pPr>
    </w:p>
    <w:p w:rsidR="00E675C4" w:rsidRDefault="00E675C4"/>
    <w:sectPr w:rsidR="00E675C4" w:rsidSect="00E5299B">
      <w:headerReference w:type="default" r:id="rId11"/>
      <w:footerReference w:type="even" r:id="rId12"/>
      <w:footerReference w:type="default" r:id="rId13"/>
      <w:pgSz w:w="11907" w:h="16839" w:code="9"/>
      <w:pgMar w:top="2098" w:right="1531" w:bottom="1474"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C5" w:rsidRDefault="009417C5">
      <w:r>
        <w:separator/>
      </w:r>
    </w:p>
  </w:endnote>
  <w:endnote w:type="continuationSeparator" w:id="0">
    <w:p w:rsidR="009417C5" w:rsidRDefault="0094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1" w:rsidRDefault="00E675C4">
    <w:pPr>
      <w:pStyle w:val="a5"/>
      <w:framePr w:h="0" w:wrap="around" w:vAnchor="text" w:hAnchor="margin" w:xAlign="outside" w:y="1"/>
      <w:rPr>
        <w:rStyle w:val="a3"/>
      </w:rPr>
    </w:pPr>
    <w:r>
      <w:fldChar w:fldCharType="begin"/>
    </w:r>
    <w:r>
      <w:rPr>
        <w:rStyle w:val="a3"/>
      </w:rPr>
      <w:instrText xml:space="preserve">PAGE  </w:instrText>
    </w:r>
    <w:r>
      <w:fldChar w:fldCharType="end"/>
    </w:r>
  </w:p>
  <w:p w:rsidR="004774D1" w:rsidRDefault="004774D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1" w:rsidRDefault="00E675C4">
    <w:pPr>
      <w:pStyle w:val="a5"/>
      <w:framePr w:h="0" w:wrap="around" w:vAnchor="text" w:hAnchor="margin" w:xAlign="outside" w:y="1"/>
      <w:rPr>
        <w:rStyle w:val="a3"/>
        <w:sz w:val="21"/>
        <w:szCs w:val="21"/>
      </w:rPr>
    </w:pPr>
    <w:r>
      <w:rPr>
        <w:rStyle w:val="a3"/>
        <w:rFonts w:hint="eastAsia"/>
        <w:sz w:val="21"/>
        <w:szCs w:val="21"/>
      </w:rPr>
      <w:t>—</w:t>
    </w:r>
    <w:r>
      <w:rPr>
        <w:rStyle w:val="a3"/>
        <w:rFonts w:hint="eastAsia"/>
        <w:sz w:val="21"/>
        <w:szCs w:val="21"/>
      </w:rPr>
      <w:t xml:space="preserve"> </w:t>
    </w:r>
    <w:r>
      <w:rPr>
        <w:sz w:val="21"/>
        <w:szCs w:val="21"/>
      </w:rPr>
      <w:fldChar w:fldCharType="begin"/>
    </w:r>
    <w:r>
      <w:rPr>
        <w:rStyle w:val="a3"/>
        <w:sz w:val="21"/>
        <w:szCs w:val="21"/>
      </w:rPr>
      <w:instrText xml:space="preserve">PAGE  </w:instrText>
    </w:r>
    <w:r>
      <w:rPr>
        <w:sz w:val="21"/>
        <w:szCs w:val="21"/>
      </w:rPr>
      <w:fldChar w:fldCharType="separate"/>
    </w:r>
    <w:r w:rsidR="00E5299B">
      <w:rPr>
        <w:rStyle w:val="a3"/>
        <w:noProof/>
        <w:sz w:val="21"/>
        <w:szCs w:val="21"/>
      </w:rPr>
      <w:t>5</w:t>
    </w:r>
    <w:r>
      <w:rPr>
        <w:sz w:val="21"/>
        <w:szCs w:val="21"/>
      </w:rPr>
      <w:fldChar w:fldCharType="end"/>
    </w:r>
    <w:r>
      <w:rPr>
        <w:rStyle w:val="a3"/>
        <w:rFonts w:hint="eastAsia"/>
        <w:sz w:val="21"/>
        <w:szCs w:val="21"/>
      </w:rPr>
      <w:t xml:space="preserve"> </w:t>
    </w:r>
    <w:r>
      <w:rPr>
        <w:rStyle w:val="a3"/>
        <w:rFonts w:hint="eastAsia"/>
        <w:sz w:val="21"/>
        <w:szCs w:val="21"/>
      </w:rPr>
      <w:t>—</w:t>
    </w:r>
  </w:p>
  <w:p w:rsidR="004774D1" w:rsidRDefault="004774D1">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7C5" w:rsidRDefault="009417C5">
      <w:r>
        <w:separator/>
      </w:r>
    </w:p>
  </w:footnote>
  <w:footnote w:type="continuationSeparator" w:id="0">
    <w:p w:rsidR="009417C5" w:rsidRDefault="00941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1" w:rsidRDefault="004774D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1F167"/>
    <w:multiLevelType w:val="singleLevel"/>
    <w:tmpl w:val="5BA1F167"/>
    <w:lvl w:ilvl="0">
      <w:start w:val="5"/>
      <w:numFmt w:val="chineseCounting"/>
      <w:suff w:val="space"/>
      <w:lvlText w:val="第%1章"/>
      <w:lvlJc w:val="left"/>
    </w:lvl>
  </w:abstractNum>
  <w:abstractNum w:abstractNumId="1">
    <w:nsid w:val="5BB04238"/>
    <w:multiLevelType w:val="singleLevel"/>
    <w:tmpl w:val="5BB04238"/>
    <w:lvl w:ilvl="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002B"/>
    <w:rsid w:val="00046E7A"/>
    <w:rsid w:val="00172A27"/>
    <w:rsid w:val="003D2FE4"/>
    <w:rsid w:val="004774D1"/>
    <w:rsid w:val="009417C5"/>
    <w:rsid w:val="00E5299B"/>
    <w:rsid w:val="00E6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39497A82-4ACD-4DAE-9BD7-AC208BDE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paragraph" w:styleId="a6">
    <w:name w:val="Plain Text"/>
    <w:basedOn w:val="a"/>
    <w:uiPriority w:val="99"/>
    <w:unhideWhenUsed/>
    <w:rPr>
      <w:rFonts w:ascii="宋体" w:hAnsi="Courier New"/>
      <w:kern w:val="0"/>
      <w:sz w:val="20"/>
      <w:szCs w:val="21"/>
    </w:rPr>
  </w:style>
  <w:style w:type="character" w:customStyle="1" w:styleId="red">
    <w:name w:val="red"/>
    <w:rsid w:val="00046E7A"/>
  </w:style>
  <w:style w:type="character" w:styleId="a7">
    <w:name w:val="Hyperlink"/>
    <w:uiPriority w:val="99"/>
    <w:semiHidden/>
    <w:unhideWhenUsed/>
    <w:rsid w:val="00046E7A"/>
    <w:rPr>
      <w:color w:val="0000FF"/>
      <w:u w:val="single"/>
    </w:rPr>
  </w:style>
  <w:style w:type="paragraph" w:customStyle="1" w:styleId="p0">
    <w:name w:val="p0"/>
    <w:basedOn w:val="a"/>
    <w:rsid w:val="00046E7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340637">
      <w:bodyDiv w:val="1"/>
      <w:marLeft w:val="0"/>
      <w:marRight w:val="0"/>
      <w:marTop w:val="0"/>
      <w:marBottom w:val="0"/>
      <w:divBdr>
        <w:top w:val="none" w:sz="0" w:space="0" w:color="auto"/>
        <w:left w:val="none" w:sz="0" w:space="0" w:color="auto"/>
        <w:bottom w:val="none" w:sz="0" w:space="0" w:color="auto"/>
        <w:right w:val="none" w:sz="0" w:space="0" w:color="auto"/>
      </w:divBdr>
      <w:divsChild>
        <w:div w:id="474951318">
          <w:marLeft w:val="0"/>
          <w:marRight w:val="0"/>
          <w:marTop w:val="0"/>
          <w:marBottom w:val="0"/>
          <w:divBdr>
            <w:top w:val="none" w:sz="0" w:space="0" w:color="auto"/>
            <w:left w:val="none" w:sz="0" w:space="0" w:color="auto"/>
            <w:bottom w:val="none" w:sz="0" w:space="0" w:color="auto"/>
            <w:right w:val="none" w:sz="0" w:space="0" w:color="auto"/>
          </w:divBdr>
          <w:divsChild>
            <w:div w:id="18661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357">
      <w:bodyDiv w:val="1"/>
      <w:marLeft w:val="0"/>
      <w:marRight w:val="0"/>
      <w:marTop w:val="0"/>
      <w:marBottom w:val="0"/>
      <w:divBdr>
        <w:top w:val="none" w:sz="0" w:space="0" w:color="auto"/>
        <w:left w:val="none" w:sz="0" w:space="0" w:color="auto"/>
        <w:bottom w:val="none" w:sz="0" w:space="0" w:color="auto"/>
        <w:right w:val="none" w:sz="0" w:space="0" w:color="auto"/>
      </w:divBdr>
      <w:divsChild>
        <w:div w:id="1504125629">
          <w:marLeft w:val="0"/>
          <w:marRight w:val="0"/>
          <w:marTop w:val="0"/>
          <w:marBottom w:val="0"/>
          <w:divBdr>
            <w:top w:val="none" w:sz="0" w:space="0" w:color="auto"/>
            <w:left w:val="none" w:sz="0" w:space="0" w:color="auto"/>
            <w:bottom w:val="none" w:sz="0" w:space="0" w:color="auto"/>
            <w:right w:val="none" w:sz="0" w:space="0" w:color="auto"/>
          </w:divBdr>
          <w:divsChild>
            <w:div w:id="20598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doZoom(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doZoom(1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271</Words>
  <Characters>1549</Characters>
  <Application>Microsoft Office Word</Application>
  <DocSecurity>0</DocSecurity>
  <PresentationFormat/>
  <Lines>12</Lines>
  <Paragraphs>3</Paragraphs>
  <Slides>0</Slides>
  <Notes>0</Notes>
  <HiddenSlides>0</HiddenSlides>
  <MMClips>0</MMClips>
  <ScaleCrop>false</ScaleCrop>
  <Manager/>
  <Company/>
  <LinksUpToDate>false</LinksUpToDate>
  <CharactersWithSpaces>1817</CharactersWithSpaces>
  <SharedDoc>false</SharedDoc>
  <HLinks>
    <vt:vector size="18" baseType="variant">
      <vt:variant>
        <vt:i4>1245195</vt:i4>
      </vt:variant>
      <vt:variant>
        <vt:i4>6</vt:i4>
      </vt:variant>
      <vt:variant>
        <vt:i4>0</vt:i4>
      </vt:variant>
      <vt:variant>
        <vt:i4>5</vt:i4>
      </vt:variant>
      <vt:variant>
        <vt:lpwstr>javascript:doZoom(14)</vt:lpwstr>
      </vt:variant>
      <vt:variant>
        <vt:lpwstr/>
      </vt:variant>
      <vt:variant>
        <vt:i4>1114123</vt:i4>
      </vt:variant>
      <vt:variant>
        <vt:i4>3</vt:i4>
      </vt:variant>
      <vt:variant>
        <vt:i4>0</vt:i4>
      </vt:variant>
      <vt:variant>
        <vt:i4>5</vt:i4>
      </vt:variant>
      <vt:variant>
        <vt:lpwstr>javascript:doZoom(16)</vt:lpwstr>
      </vt:variant>
      <vt:variant>
        <vt:lpwstr/>
      </vt:variant>
      <vt:variant>
        <vt:i4>2031627</vt:i4>
      </vt:variant>
      <vt:variant>
        <vt:i4>0</vt:i4>
      </vt:variant>
      <vt:variant>
        <vt:i4>0</vt:i4>
      </vt:variant>
      <vt:variant>
        <vt:i4>5</vt:i4>
      </vt:variant>
      <vt:variant>
        <vt:lpwstr>javascript:doZoom(18)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吉林省科技小巨人企业R&amp;D投入补贴</dc:title>
  <dc:subject/>
  <dc:creator>dell</dc:creator>
  <cp:keywords/>
  <dc:description/>
  <cp:lastModifiedBy>个人用户</cp:lastModifiedBy>
  <cp:revision>4</cp:revision>
  <dcterms:created xsi:type="dcterms:W3CDTF">2018-12-14T06:25:00Z</dcterms:created>
  <dcterms:modified xsi:type="dcterms:W3CDTF">2018-12-19T03:27:00Z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