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A5" w:rsidRPr="00621DA5" w:rsidRDefault="00621DA5" w:rsidP="00621DA5">
      <w:pPr>
        <w:widowControl/>
        <w:wordWrap w:val="0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支持技工强市建设若干政策规定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一、大力推行终身职业培训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．实施精准技能培训计划，依托企业、职业院校和培训机构等，面向贫困劳动者、退役士兵、就业援助对象等重点就业群体开展免费技能培训，培训期间给予参训人员生活和交通补助，补助标准为每人每天最高50元，最长不超过20天。〔责任单位：市人社局、民政局、财政局（国资委），排在第一位为牵头单位，下同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2．按照“先垫后补”原则，面向城乡普通劳动者开展订单、定向和定岗培训，按规定给予企业、参训人员培训补贴，促进技能培训与岗位使用精准对接。〔责任单位：市人社局、财政局（国资委）〕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3．拓宽终身培训通道，探索“互联网+”培训模式，建立劳动者个人学习帐号和学分累计制度。建立健全职业培训奖补机制，每年对培训质量好、学员留在市内就业人数多的培训机构，综合评估前10名的，给予5—10万元一次性奖励。力争到2021年，全市技工总量达到48万人，其中具备高级以上技能水平的技工达到13.5万人。〔责任单位：市人社局、财政局（国资委）、市委组织部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二、加快发展现代职业教育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4．推动多元办学，大力发展股份制、混合所有制职业教育办学形式，民办职业院校收费实行自主定价，公办职业院校学费作为行政事业性收费管理。〔责任单位：市教育局、人社局、财政局（国资委）、市发改委（物价局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    5．开辟公办职业院校重点专业“一体化”教师引进绿色通道，兼具工程技术类高级专业技术职称和高级技师职业资格且有3年以上企业相应岗位工作经历的人员，可比照高层次人才引进方式办理聘用手续。（责任单位：市人社局、编办、教育局）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6．推动建立芜湖市职业教育联盟（集团），促进职业院校产教融合、校企合作，实现集约化发展。依法依规设立民办教育发展基金，支持成立相应的基金会，推动民办职业教育发展。鼓励市内企业与学生、职业院校签订紧缺工种技能人才定向培养协议，报经县区政府人社部门审核备案，学生在校期间，由企业所在地政府按企业发放额度的50%，且最低不低于每人每月500元标准发给定向培养生在校学习补助。对企业举办的职业院校，根据毕业生在我市企业就业人数，由毕业生就业企业所在地政府，通过政府购买服务方式给予支持。〔责任单位：市教育局、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7．大力发展技工教育，充分发挥技工院校在技工培养、职业培训方面的主阵地作用，推动建设职业训练院。力争到2021年，职业院校在校生人数达到10万人。〔责任单位：市人社局、教育局、财政局（国资委）〕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三、实施高技能人才培养工程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8．围绕战略性新兴产业、高端装备制造、装配式建筑、现代服务等领域，实施技师培训项目，开展以高级工为重点的技能提升培训。到2021年，培养高级技师和技师不少于3300名、高级工不少于2.5万名，按高级技师5000元/人、技师3500元/人、高级工2000元/</w:t>
      </w: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人的标准，给予培养单位或职工个人研修提升补助。〔责任单位：市人社局、财政局（国资委）〕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 xml:space="preserve">    9．到2021年，从企事业单位遴选 100位技能名师，开展名师带高徒活动，按2万元标准给予名师一次性带徒津贴，带徒协议期限不少于2年。选择一批大中型企业，推行以“招工即招生、入企即入校、企校双师联合培养”为主要内容的企业新型学徒制，按企业支付给职业院校培训费用的60%给予企业补助，每人每年补助标准最高可达6000元，最长补助期限为2年。〔责任单位：市人社局、财政局（国资委）〕 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10．坚持高端引领，鼓励符合条件的职业院校加挂技工院校牌，到2021年，有条件的县可建设一所技工院校，高级工以上在校生规模保持在60%以上。创建1所省级示范技师学院，并享受高等职业技术学院同等待遇。（责任单位：市人社局、各县人民政府）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四、扩大人才引进与交流合作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11．企业从市外引进急需紧缺的高级技师、技师，根据引进方式和劳动关系建立形式，按企业支付给个人的工资薪金总额（税后）的20%给予个人补助，实名制打卡发放到个人，补助期限为3年。企业引进市外中华技能大奖获得者、全国技术能手、世界技能大赛中国队选手、全国职业院校技能大赛一等奖选手，与其签订1年以上劳动合同，并安排在关键技能岗位工作的，按支付给个人工资薪金总额（税后）的50%向企业所在地政府申领引才补助，补助期限为3年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    12．实施“海外金蓝领援芜”计划，每年从海外聘请一批技能专家到我市职业院校任教，按每人5000元/月标准给予援芜津贴。支持职业院校骨干教师赴德国、瑞士、澳大利亚等制造强国、职教大国培训。选派高技能人才到“一带一路”沿线国家开展技能交流和帮扶活动，对交流帮扶成效显著的单位和个人给予1—2万元奖励。〔责任单位：市人社局、教育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五、推动技能人才多元评价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13．建立优秀技能人才技能资格越级申报、技能等级直接认定制度。支持企业结合岗位需要开展技能人才自主评价，按规定颁发职业资格证书。引导职业院校根据国家职业标准和企业岗位操作规范开发课程、实施教学和学业水平测试，将职业教育办成就业导向的教育。完善政府购买职业技能鉴定服务机制，推动第三方评价机构建设，培育社会化评审专家队伍，实现教育培训与技能鉴定分离。（责任单位：市人社局、教育局）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六、发挥技能竞赛引领作用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14．鼓励行业、企业广泛开展职工岗位练兵和技术比武活动，并落实优胜选手待遇。对纳入市级职业技能竞赛计划的，给予5—15万元赛事补助。〔责任单位：市人才办、市人社局、教育局、财政局（国资委）等〕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15．加大对参与国际技能赛事的奖励力度，对在世界技能大赛和国家级技能大赛获奖选手及受奖励人专家团队，按省级奖励标准1：1配比奖励；对在省级技能大赛中获得一、二、三等奖选手（团队）分</w:t>
      </w: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别给予2万元、1万元、0.5万元奖励；对在市级技能大赛中获得一、二、三等奖选手分别给予1万元、0.5万元、0.3万元奖励。〔责任单位：市人才办、市人社局、教育局、财政局（国资委）等〕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七、完善技能人才激励政策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16．鼓励用人单位对优秀的、急需紧缺的技能人才，实行特殊津贴制度或奖补政策。〔责任单位：市人社局、财政局（国资委）〕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17．完善高技能人才政府评选奖励制度。市政府每两年评选20名芜湖市首席技师、10名芜湖市技能大奖获得者、10名“江城杰出工匠”，颁发荣誉证书，给予每人2万元奖励。打通高技能人才与工程技术人才职业发展通道，支持符合条件的高技能人才申报工程系列专业技术人才职称评审。〔责任单位：市人才办、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八、强化载体平台支撑作用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18．对国家认定的每届世界技能大赛主、副赛集训基地分别给予500万元、300万元支持。建立省级、市级职业技能竞赛基地，分别给予50万元、30万元支持。〔责任单位：市人社局、财政局（国资委）〕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19．争创省级高技能人才培训基地、新兴产业省级综合竞赛基地、省级技能大师工作室；对新认定的市级高技能人才培训基地、技能大师工作室，分别给予30万元、5万元补助；创建省级示范性公共实训基地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    20．积极融入安徽职业培训网络大学，开发运用“职业培训包”，推行“互联网+培训”。加大金融信贷支持力度，对高技能人才培养载体平台建设项目，按相关规定享受政策性贷款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九、深化人才体制机制改革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21．整合各类职业教育资源，建立集约高效的现代职业教育管理运行体制机制，促进职业教育与产业发展、就业促进、人才培养紧密衔接，大力推行“技能+学历”教育，加快培养复合型人才。（责任单位：市教育局、人社局）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22．积极推进企业技能人才收入分配制度改革，鼓励企业对聘用的高技能人才实行年薪制、股权制、期权制等收入分配方式。对取得科技攻关、技术革新成果的高技能人才，可从成果转化收益中，通过奖金、股权等形式给予奖励。〔责任单位：市经信委、财政局（国资委）、人社局、科技局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十、优化技能人才配套服务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23．完善政府人才公共服务体系，健全技能人才的人事代理、社会保险代理、劳动争议调解仲裁、人事档案管理、就业服务等公共服务平台。定期发布技能人才供求信息和工资指导价位信息，引导技能人才合理流动。建立技工“蓝卡”制度，依托社会保障卡加载标记功能，为技能人才在不同所有制、不同性质单位、不同行业和跨地区流动中的社会保险关系接续提供依据。完善技能人才落户政策，具备中级以上技能水平的市内农民工、外来劳动者，可在我市就业地按程</w:t>
      </w: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lastRenderedPageBreak/>
        <w:t>序办理落户手续，其配偶、子女可优先享受公共就业、教育、住房等服务。（责任单位：市人社局、教育局、公安局、住建委）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24．加强技工强市建设组织领导，成立推进技工强市建设领导小组，分管市领导担任组长，组织、人社、教育、财政等部门各司其职，积极配合，领导小组办公室设在市人社局，相关工作纳入政府年度考核。（责任单位：市人社局）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25．建立技工强市建设专项资金，本政策所涉及奖补资金支出，符合省财政厅、省人社厅《关于印发〈安徽省就业补助资金管理暂行办法〉的通知》（财社〔2016〕1754 号）》规定范围的，从省拨就业资金中列支，其余项目资金从市、县（区）技工强市专项资金支出，除已经明确负担比例以外，由市与县、省江北产业集中区按2:8的比例分担，市与区、经济技术开发区、长江大桥开发区按4:6比例分担。市人社、财政等部门制定具体实施细则。要严格申报程序，加强审核评估，强化部门会商会签，充分利用信息管理平台，避免多头重复享受，做到简便快捷、公开透明、规范高效。要加快资金拨付，加强资金监管，加大审计监督力度。对弄虚作假骗取的奖补资金，一经发现全部予以收回，并按照有关规定对责任单位、申报单位及相关责任人给予严肃处理。要加强宣传解读，推进政策落地。〔责任单位：市人社局、财政局（国资委）〕</w:t>
      </w:r>
    </w:p>
    <w:p w:rsidR="00621DA5" w:rsidRPr="00621DA5" w:rsidRDefault="00621DA5" w:rsidP="00621DA5">
      <w:pPr>
        <w:widowControl/>
        <w:wordWrap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621DA5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    本规定自发布之日起施行，实施中的具体问题由市人社局负责解释。</w:t>
      </w:r>
    </w:p>
    <w:p w:rsidR="00D877FC" w:rsidRDefault="00621DA5">
      <w:bookmarkStart w:id="0" w:name="_GoBack"/>
      <w:bookmarkEnd w:id="0"/>
    </w:p>
    <w:sectPr w:rsidR="00D8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B2"/>
    <w:rsid w:val="00251CA6"/>
    <w:rsid w:val="00621DA5"/>
    <w:rsid w:val="00D037FE"/>
    <w:rsid w:val="00D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175D9-E511-42A6-AE6F-0E01B586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3553</Characters>
  <Application>Microsoft Office Word</Application>
  <DocSecurity>0</DocSecurity>
  <Lines>29</Lines>
  <Paragraphs>8</Paragraphs>
  <ScaleCrop>false</ScaleCrop>
  <Company>Microsoft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hx</dc:creator>
  <cp:keywords/>
  <dc:description/>
  <cp:lastModifiedBy>cui hx</cp:lastModifiedBy>
  <cp:revision>3</cp:revision>
  <dcterms:created xsi:type="dcterms:W3CDTF">2018-05-06T16:32:00Z</dcterms:created>
  <dcterms:modified xsi:type="dcterms:W3CDTF">2018-05-06T16:33:00Z</dcterms:modified>
</cp:coreProperties>
</file>