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C74C1">
      <w:pPr>
        <w:shd w:val="clear" w:color="auto" w:fill="FFFFFF"/>
        <w:spacing w:before="100" w:beforeAutospacing="1" w:after="100" w:afterAutospacing="1" w:line="480" w:lineRule="atLeast"/>
        <w:jc w:val="center"/>
        <w:outlineLvl w:val="1"/>
        <w:divId w:val="1512449816"/>
        <w:rPr>
          <w:b/>
          <w:bCs/>
          <w:color w:val="0168B7"/>
          <w:kern w:val="36"/>
          <w:sz w:val="26"/>
          <w:szCs w:val="26"/>
        </w:rPr>
      </w:pPr>
      <w:r>
        <w:rPr>
          <w:b/>
          <w:bCs/>
          <w:color w:val="0168B7"/>
          <w:kern w:val="36"/>
          <w:sz w:val="26"/>
          <w:szCs w:val="26"/>
        </w:rPr>
        <w:t>香洲</w:t>
      </w:r>
      <w:proofErr w:type="gramStart"/>
      <w:r>
        <w:rPr>
          <w:b/>
          <w:bCs/>
          <w:color w:val="0168B7"/>
          <w:kern w:val="36"/>
          <w:sz w:val="26"/>
          <w:szCs w:val="26"/>
        </w:rPr>
        <w:t>区创新</w:t>
      </w:r>
      <w:proofErr w:type="gramEnd"/>
      <w:r>
        <w:rPr>
          <w:b/>
          <w:bCs/>
          <w:color w:val="0168B7"/>
          <w:kern w:val="36"/>
          <w:sz w:val="26"/>
          <w:szCs w:val="26"/>
        </w:rPr>
        <w:t>发展若干措施</w:t>
      </w:r>
    </w:p>
    <w:p w:rsidR="00000000" w:rsidRDefault="00EC74C1">
      <w:pPr>
        <w:shd w:val="clear" w:color="auto" w:fill="FFE8CD"/>
        <w:spacing w:line="360" w:lineRule="atLeast"/>
        <w:jc w:val="center"/>
        <w:divId w:val="1512449816"/>
      </w:pPr>
      <w:r>
        <w:rPr>
          <w:color w:val="000000"/>
          <w:sz w:val="17"/>
          <w:szCs w:val="17"/>
        </w:rPr>
        <w:t>来源：区</w:t>
      </w:r>
      <w:proofErr w:type="gramStart"/>
      <w:r>
        <w:rPr>
          <w:color w:val="000000"/>
          <w:sz w:val="17"/>
          <w:szCs w:val="17"/>
        </w:rPr>
        <w:t>投促中心</w:t>
      </w:r>
      <w:proofErr w:type="gramEnd"/>
      <w:r>
        <w:t xml:space="preserve">      </w:t>
      </w:r>
      <w:r>
        <w:rPr>
          <w:color w:val="000000"/>
          <w:sz w:val="17"/>
          <w:szCs w:val="17"/>
        </w:rPr>
        <w:t>撰写时间：</w:t>
      </w:r>
      <w:r>
        <w:rPr>
          <w:color w:val="000000"/>
          <w:sz w:val="17"/>
          <w:szCs w:val="17"/>
        </w:rPr>
        <w:t>2017-04-12</w:t>
      </w:r>
      <w:r>
        <w:t xml:space="preserve"> </w:t>
      </w:r>
    </w:p>
    <w:p w:rsidR="00000000" w:rsidRDefault="00EC74C1">
      <w:pPr>
        <w:shd w:val="clear" w:color="auto" w:fill="FFFFFF"/>
        <w:spacing w:line="360" w:lineRule="atLeast"/>
        <w:jc w:val="center"/>
        <w:divId w:val="765883043"/>
      </w:pPr>
    </w:p>
    <w:p w:rsidR="00000000" w:rsidRDefault="00CC0121">
      <w:pPr>
        <w:shd w:val="clear" w:color="auto" w:fill="FFFFFF"/>
        <w:spacing w:before="100" w:beforeAutospacing="1" w:line="360" w:lineRule="atLeast"/>
        <w:divId w:val="890965860"/>
        <w:rPr>
          <w:rFonts w:ascii="微软雅黑" w:eastAsia="微软雅黑" w:hAnsi="微软雅黑"/>
          <w:color w:val="333333"/>
          <w:sz w:val="19"/>
          <w:szCs w:val="19"/>
        </w:rPr>
      </w:pPr>
      <w:r>
        <w:pict/>
      </w:r>
      <w:r>
        <w:pict/>
      </w:r>
      <w:r w:rsidR="00EC74C1">
        <w:rPr>
          <w:rFonts w:ascii="微软雅黑" w:eastAsia="微软雅黑" w:hAnsi="微软雅黑" w:hint="eastAsia"/>
          <w:color w:val="333333"/>
          <w:sz w:val="19"/>
          <w:szCs w:val="19"/>
        </w:rPr>
        <w:t xml:space="preserve">　　当前，香洲区正处于发展的黄金期、改革的攻坚期和转型的关键期，迎来了大桥时代、自贸区时代、国家“一带一路”</w:t>
      </w:r>
      <w:r w:rsidR="00EC74C1">
        <w:rPr>
          <w:rFonts w:ascii="微软雅黑" w:eastAsia="微软雅黑" w:hAnsi="微软雅黑" w:hint="eastAsia"/>
          <w:color w:val="333333"/>
          <w:sz w:val="19"/>
          <w:szCs w:val="19"/>
        </w:rPr>
        <w:lastRenderedPageBreak/>
        <w:t>战略、珠三角国家自主创新示范区建设等发展机遇，特别是港珠澳大桥通车后，香洲区将成为国内唯一与香港、澳门同时陆桥相连的城区。必须紧紧围绕“创新、协调、绿色、开放、共享”的发展理念，深化供给侧结构性改革，发挥创新驱动发展的引领作用，全面落实“抢抓机遇、担当使命、干</w:t>
      </w:r>
      <w:r w:rsidR="00EC74C1">
        <w:rPr>
          <w:rFonts w:ascii="微软雅黑" w:eastAsia="微软雅黑" w:hAnsi="微软雅黑" w:hint="eastAsia"/>
          <w:color w:val="333333"/>
          <w:sz w:val="19"/>
          <w:szCs w:val="19"/>
        </w:rPr>
        <w:lastRenderedPageBreak/>
        <w:t>在</w:t>
      </w:r>
      <w:r w:rsidR="00EC74C1">
        <w:rPr>
          <w:rFonts w:ascii="微软雅黑" w:eastAsia="微软雅黑" w:hAnsi="微软雅黑" w:hint="eastAsia"/>
          <w:color w:val="333333"/>
          <w:sz w:val="19"/>
          <w:szCs w:val="19"/>
        </w:rPr>
        <w:t>实处、走在前列”的工作总要求，继续发挥主力军、主阵地、主战场作用，巩固和提升</w:t>
      </w:r>
      <w:proofErr w:type="gramStart"/>
      <w:r w:rsidR="00EC74C1">
        <w:rPr>
          <w:rFonts w:ascii="微软雅黑" w:eastAsia="微软雅黑" w:hAnsi="微软雅黑" w:hint="eastAsia"/>
          <w:color w:val="333333"/>
          <w:sz w:val="19"/>
          <w:szCs w:val="19"/>
        </w:rPr>
        <w:t>香洲主城区</w:t>
      </w:r>
      <w:proofErr w:type="gramEnd"/>
      <w:r w:rsidR="00EC74C1">
        <w:rPr>
          <w:rFonts w:ascii="微软雅黑" w:eastAsia="微软雅黑" w:hAnsi="微软雅黑" w:hint="eastAsia"/>
          <w:color w:val="333333"/>
          <w:sz w:val="19"/>
          <w:szCs w:val="19"/>
        </w:rPr>
        <w:t>中心地位，推动科技创新、产业发展、对外开放、人才集聚等方面迈上新台阶，实现香洲跨越发展。</w:t>
      </w:r>
      <w:r w:rsidR="00EC74C1">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一、着力构建科技创新体系，全力打造创新发展高地</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（一）大力培育国家高新技术企业</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支持企业进入高企培育库。对进入省高企培育库的企业，最高给予</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万元资助。</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奖励企业通过高企认定。通过认定（</w:t>
      </w:r>
      <w:proofErr w:type="gramStart"/>
      <w:r>
        <w:rPr>
          <w:rFonts w:ascii="微软雅黑" w:eastAsia="微软雅黑" w:hAnsi="微软雅黑" w:hint="eastAsia"/>
          <w:color w:val="333333"/>
          <w:sz w:val="19"/>
          <w:szCs w:val="19"/>
        </w:rPr>
        <w:t>含重新</w:t>
      </w:r>
      <w:proofErr w:type="gramEnd"/>
      <w:r>
        <w:rPr>
          <w:rFonts w:ascii="微软雅黑" w:eastAsia="微软雅黑" w:hAnsi="微软雅黑" w:hint="eastAsia"/>
          <w:color w:val="333333"/>
          <w:sz w:val="19"/>
          <w:szCs w:val="19"/>
        </w:rPr>
        <w:t>认定）的高企，最高给予</w:t>
      </w:r>
      <w:r>
        <w:rPr>
          <w:rFonts w:ascii="微软雅黑" w:eastAsia="微软雅黑" w:hAnsi="微软雅黑" w:hint="eastAsia"/>
          <w:color w:val="333333"/>
          <w:sz w:val="19"/>
          <w:szCs w:val="19"/>
        </w:rPr>
        <w:t>60</w:t>
      </w:r>
      <w:r>
        <w:rPr>
          <w:rFonts w:ascii="微软雅黑" w:eastAsia="微软雅黑" w:hAnsi="微软雅黑" w:hint="eastAsia"/>
          <w:color w:val="333333"/>
          <w:sz w:val="19"/>
          <w:szCs w:val="19"/>
        </w:rPr>
        <w:t>万元资助。</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鼓励异地高企落户。从市外整体搬迁至香洲区落户的高企，最高给予</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0</w:t>
      </w:r>
      <w:r>
        <w:rPr>
          <w:rFonts w:ascii="微软雅黑" w:eastAsia="微软雅黑" w:hAnsi="微软雅黑" w:hint="eastAsia"/>
          <w:color w:val="333333"/>
          <w:sz w:val="19"/>
          <w:szCs w:val="19"/>
        </w:rPr>
        <w:t>万元落地奖励。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（二）鼓励企业加大科技研发投入</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4.</w:t>
      </w:r>
      <w:r>
        <w:rPr>
          <w:rFonts w:ascii="微软雅黑" w:eastAsia="微软雅黑" w:hAnsi="微软雅黑" w:hint="eastAsia"/>
          <w:color w:val="333333"/>
          <w:sz w:val="19"/>
          <w:szCs w:val="19"/>
        </w:rPr>
        <w:t>鼓励企业加大科技研发投入。对经税务部门核定的上年度研发费税前加计扣除额超</w:t>
      </w:r>
      <w:r>
        <w:rPr>
          <w:rFonts w:ascii="微软雅黑" w:eastAsia="微软雅黑" w:hAnsi="微软雅黑" w:hint="eastAsia"/>
          <w:color w:val="333333"/>
          <w:sz w:val="19"/>
          <w:szCs w:val="19"/>
        </w:rPr>
        <w:lastRenderedPageBreak/>
        <w:t>过</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万元的企业，按其年度研发费税前加计扣除额最高按照</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％给予事后资助，单个企业最高资助额为</w:t>
      </w:r>
      <w:r>
        <w:rPr>
          <w:rFonts w:ascii="微软雅黑" w:eastAsia="微软雅黑" w:hAnsi="微软雅黑" w:hint="eastAsia"/>
          <w:color w:val="333333"/>
          <w:sz w:val="19"/>
          <w:szCs w:val="19"/>
        </w:rPr>
        <w:t>3000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（三）加快建设科技创新载体</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支持企业建立科技研发机构。对获得国家、省、市级认定、组建的工程中心、技术</w:t>
      </w:r>
      <w:r>
        <w:rPr>
          <w:rFonts w:ascii="微软雅黑" w:eastAsia="微软雅黑" w:hAnsi="微软雅黑" w:hint="eastAsia"/>
          <w:color w:val="333333"/>
          <w:sz w:val="19"/>
          <w:szCs w:val="19"/>
        </w:rPr>
        <w:lastRenderedPageBreak/>
        <w:t>中心、实验室等科技研发机构，分别给予最高</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万元的一次性资助。</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6.</w:t>
      </w:r>
      <w:r>
        <w:rPr>
          <w:rFonts w:ascii="微软雅黑" w:eastAsia="微软雅黑" w:hAnsi="微软雅黑" w:hint="eastAsia"/>
          <w:color w:val="333333"/>
          <w:sz w:val="19"/>
          <w:szCs w:val="19"/>
        </w:rPr>
        <w:t>加大新型研发机构扶持力度。围绕香洲区重点发展的</w:t>
      </w:r>
      <w:proofErr w:type="gramStart"/>
      <w:r>
        <w:rPr>
          <w:rFonts w:ascii="微软雅黑" w:eastAsia="微软雅黑" w:hAnsi="微软雅黑" w:hint="eastAsia"/>
          <w:color w:val="333333"/>
          <w:sz w:val="19"/>
          <w:szCs w:val="19"/>
        </w:rPr>
        <w:t>高端</w:t>
      </w:r>
      <w:r>
        <w:rPr>
          <w:rFonts w:ascii="微软雅黑" w:eastAsia="微软雅黑" w:hAnsi="微软雅黑" w:hint="eastAsia"/>
          <w:color w:val="333333"/>
          <w:sz w:val="19"/>
          <w:szCs w:val="19"/>
        </w:rPr>
        <w:t>新型</w:t>
      </w:r>
      <w:proofErr w:type="gramEnd"/>
      <w:r>
        <w:rPr>
          <w:rFonts w:ascii="微软雅黑" w:eastAsia="微软雅黑" w:hAnsi="微软雅黑" w:hint="eastAsia"/>
          <w:color w:val="333333"/>
          <w:sz w:val="19"/>
          <w:szCs w:val="19"/>
        </w:rPr>
        <w:t>信息产业、机器人与自动化、软件与集成电路、智能家居、生物医药等主导产业，引导和支持社会力量参与新型</w:t>
      </w:r>
      <w:r>
        <w:rPr>
          <w:rFonts w:ascii="微软雅黑" w:eastAsia="微软雅黑" w:hAnsi="微软雅黑" w:hint="eastAsia"/>
          <w:color w:val="333333"/>
          <w:sz w:val="19"/>
          <w:szCs w:val="19"/>
        </w:rPr>
        <w:lastRenderedPageBreak/>
        <w:t>研发机构建设。对获得国家、省、市级认定的新型研发机构，分别给予最高</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万元的一次性资助。重点优质新型研发机构可按“一事一议”方式给予更大支持。</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7.</w:t>
      </w:r>
      <w:r>
        <w:rPr>
          <w:rFonts w:ascii="微软雅黑" w:eastAsia="微软雅黑" w:hAnsi="微软雅黑" w:hint="eastAsia"/>
          <w:color w:val="333333"/>
          <w:sz w:val="19"/>
          <w:szCs w:val="19"/>
        </w:rPr>
        <w:t>鼓励建设公共技术服务平台。对获得国家、省、市级认定的公共技术服务平台，分</w:t>
      </w:r>
      <w:r>
        <w:rPr>
          <w:rFonts w:ascii="微软雅黑" w:eastAsia="微软雅黑" w:hAnsi="微软雅黑" w:hint="eastAsia"/>
          <w:color w:val="333333"/>
          <w:sz w:val="19"/>
          <w:szCs w:val="19"/>
        </w:rPr>
        <w:lastRenderedPageBreak/>
        <w:t>别给予最高</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万元的一次性资助。区政府对于新建公共技术平台给予一次性</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万元落地奖，每月每平方米不超过</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元的场地租金补贴（补贴面积不</w:t>
      </w:r>
      <w:r>
        <w:rPr>
          <w:rFonts w:ascii="微软雅黑" w:eastAsia="微软雅黑" w:hAnsi="微软雅黑" w:hint="eastAsia"/>
          <w:color w:val="333333"/>
          <w:sz w:val="19"/>
          <w:szCs w:val="19"/>
        </w:rPr>
        <w:t>超过</w:t>
      </w:r>
      <w:r>
        <w:rPr>
          <w:rFonts w:ascii="微软雅黑" w:eastAsia="微软雅黑" w:hAnsi="微软雅黑" w:hint="eastAsia"/>
          <w:color w:val="333333"/>
          <w:sz w:val="19"/>
          <w:szCs w:val="19"/>
        </w:rPr>
        <w:t>500</w:t>
      </w:r>
      <w:r>
        <w:rPr>
          <w:rFonts w:ascii="微软雅黑" w:eastAsia="微软雅黑" w:hAnsi="微软雅黑" w:hint="eastAsia"/>
          <w:color w:val="333333"/>
          <w:sz w:val="19"/>
          <w:szCs w:val="19"/>
        </w:rPr>
        <w:t>平方米），补贴期限三年，鼓励其为科技型中小企业提供关键共性技术研发、咨询、转让等创新服务。</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8.</w:t>
      </w:r>
      <w:r>
        <w:rPr>
          <w:rFonts w:ascii="微软雅黑" w:eastAsia="微软雅黑" w:hAnsi="微软雅黑" w:hint="eastAsia"/>
          <w:color w:val="333333"/>
          <w:sz w:val="19"/>
          <w:szCs w:val="19"/>
        </w:rPr>
        <w:t>推进科技孵化器加快建设。鼓励各类主体盘活厂房、仓储、商业商务楼宇等存量资源，在不改变土地性质、使用权、不影响建筑安全的前提下改建为科技企业加速器、科技孵化器等创新创业载体。对通过认定的国家、省、市级孵化器分别给予</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30</w:t>
      </w:r>
      <w:r>
        <w:rPr>
          <w:rFonts w:ascii="微软雅黑" w:eastAsia="微软雅黑" w:hAnsi="微软雅黑" w:hint="eastAsia"/>
          <w:color w:val="333333"/>
          <w:sz w:val="19"/>
          <w:szCs w:val="19"/>
        </w:rPr>
        <w:t>万元和</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万元的一次性资助。对</w:t>
      </w:r>
      <w:r>
        <w:rPr>
          <w:rFonts w:ascii="微软雅黑" w:eastAsia="微软雅黑" w:hAnsi="微软雅黑" w:hint="eastAsia"/>
          <w:color w:val="333333"/>
          <w:sz w:val="19"/>
          <w:szCs w:val="19"/>
        </w:rPr>
        <w:lastRenderedPageBreak/>
        <w:t>新引进、具有一定资质和影响的孵化器，采取“一事一议”方式，在场地租金、土地使用等方面实施优惠。</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9.</w:t>
      </w:r>
      <w:r>
        <w:rPr>
          <w:rFonts w:ascii="微软雅黑" w:eastAsia="微软雅黑" w:hAnsi="微软雅黑" w:hint="eastAsia"/>
          <w:color w:val="333333"/>
          <w:sz w:val="19"/>
          <w:szCs w:val="19"/>
        </w:rPr>
        <w:t>鼓励创新产业孵化模式。鼓励境内外知名企</w:t>
      </w:r>
      <w:r>
        <w:rPr>
          <w:rFonts w:ascii="微软雅黑" w:eastAsia="微软雅黑" w:hAnsi="微软雅黑" w:hint="eastAsia"/>
          <w:color w:val="333333"/>
          <w:sz w:val="19"/>
          <w:szCs w:val="19"/>
        </w:rPr>
        <w:t>业、高校和科研机构大胆改革传统孵化器社会海选项目的模式，通过建立核心技术研究院和专项投资基金，重点孵化一批与香洲</w:t>
      </w:r>
      <w:proofErr w:type="gramStart"/>
      <w:r>
        <w:rPr>
          <w:rFonts w:ascii="微软雅黑" w:eastAsia="微软雅黑" w:hAnsi="微软雅黑" w:hint="eastAsia"/>
          <w:color w:val="333333"/>
          <w:sz w:val="19"/>
          <w:szCs w:val="19"/>
        </w:rPr>
        <w:t>区</w:t>
      </w:r>
      <w:r>
        <w:rPr>
          <w:rFonts w:ascii="微软雅黑" w:eastAsia="微软雅黑" w:hAnsi="微软雅黑" w:hint="eastAsia"/>
          <w:color w:val="333333"/>
          <w:sz w:val="19"/>
          <w:szCs w:val="19"/>
        </w:rPr>
        <w:lastRenderedPageBreak/>
        <w:t>产业</w:t>
      </w:r>
      <w:proofErr w:type="gramEnd"/>
      <w:r>
        <w:rPr>
          <w:rFonts w:ascii="微软雅黑" w:eastAsia="微软雅黑" w:hAnsi="微软雅黑" w:hint="eastAsia"/>
          <w:color w:val="333333"/>
          <w:sz w:val="19"/>
          <w:szCs w:val="19"/>
        </w:rPr>
        <w:t>关联度高、拥有自主核心技术的创新企业或项目，实施“种子</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孵化</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加速</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产业”的全生命周期孵化，打造全新创新产业生态链。区政府对于此类孵化器给予一次性</w:t>
      </w:r>
      <w:r>
        <w:rPr>
          <w:rFonts w:ascii="微软雅黑" w:eastAsia="微软雅黑" w:hAnsi="微软雅黑" w:hint="eastAsia"/>
          <w:color w:val="333333"/>
          <w:sz w:val="19"/>
          <w:szCs w:val="19"/>
        </w:rPr>
        <w:t>300</w:t>
      </w:r>
      <w:r>
        <w:rPr>
          <w:rFonts w:ascii="微软雅黑" w:eastAsia="微软雅黑" w:hAnsi="微软雅黑" w:hint="eastAsia"/>
          <w:color w:val="333333"/>
          <w:sz w:val="19"/>
          <w:szCs w:val="19"/>
        </w:rPr>
        <w:t>万元落地奖，以及为期三年、每月每平方米不超过</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元的场地租金补贴（补贴面积不超过</w:t>
      </w:r>
      <w:r>
        <w:rPr>
          <w:rFonts w:ascii="微软雅黑" w:eastAsia="微软雅黑" w:hAnsi="微软雅黑" w:hint="eastAsia"/>
          <w:color w:val="333333"/>
          <w:sz w:val="19"/>
          <w:szCs w:val="19"/>
        </w:rPr>
        <w:t>1000</w:t>
      </w:r>
      <w:r>
        <w:rPr>
          <w:rFonts w:ascii="微软雅黑" w:eastAsia="微软雅黑" w:hAnsi="微软雅黑" w:hint="eastAsia"/>
          <w:color w:val="333333"/>
          <w:sz w:val="19"/>
          <w:szCs w:val="19"/>
        </w:rPr>
        <w:t>平方米）。对重点优质</w:t>
      </w:r>
      <w:r>
        <w:rPr>
          <w:rFonts w:ascii="微软雅黑" w:eastAsia="微软雅黑" w:hAnsi="微软雅黑" w:hint="eastAsia"/>
          <w:color w:val="333333"/>
          <w:sz w:val="19"/>
          <w:szCs w:val="19"/>
        </w:rPr>
        <w:lastRenderedPageBreak/>
        <w:t>项目可按“一事一议”方式给予更大支持。</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鼓励异地孵化器推荐项目落户。对异地孵化器推荐其孵化的项目落户香洲区的，按项目注册成</w:t>
      </w:r>
      <w:r>
        <w:rPr>
          <w:rFonts w:ascii="微软雅黑" w:eastAsia="微软雅黑" w:hAnsi="微软雅黑" w:hint="eastAsia"/>
          <w:color w:val="333333"/>
          <w:sz w:val="19"/>
          <w:szCs w:val="19"/>
        </w:rPr>
        <w:t>立后三年内对香洲区经济贡献的</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％给予其一次性奖励，最高限额为</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万元，单个项目仅能申报一次。</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（四）强化企业持续创新能力建设</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11.</w:t>
      </w:r>
      <w:r>
        <w:rPr>
          <w:rFonts w:ascii="微软雅黑" w:eastAsia="微软雅黑" w:hAnsi="微软雅黑" w:hint="eastAsia"/>
          <w:color w:val="333333"/>
          <w:sz w:val="19"/>
          <w:szCs w:val="19"/>
        </w:rPr>
        <w:t>支持企业自主创新。每年安排科技专项资金设立自主创新资金项目，重点支持原始创新和开展产业关键共性技术、装备和标准的研究，提高原始创新和核心技术突破能力。</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12.</w:t>
      </w:r>
      <w:proofErr w:type="gramStart"/>
      <w:r>
        <w:rPr>
          <w:rFonts w:ascii="微软雅黑" w:eastAsia="微软雅黑" w:hAnsi="微软雅黑" w:hint="eastAsia"/>
          <w:color w:val="333333"/>
          <w:sz w:val="19"/>
          <w:szCs w:val="19"/>
        </w:rPr>
        <w:t>畅通技术</w:t>
      </w:r>
      <w:proofErr w:type="gramEnd"/>
      <w:r>
        <w:rPr>
          <w:rFonts w:ascii="微软雅黑" w:eastAsia="微软雅黑" w:hAnsi="微软雅黑" w:hint="eastAsia"/>
          <w:color w:val="333333"/>
          <w:sz w:val="19"/>
          <w:szCs w:val="19"/>
        </w:rPr>
        <w:t>转移渠道。鼓励科研院所和高校选派科研人员参与企业自主创新活动，开展成果转化的研究攻关；鼓励企业派驻专业技术人员到科研院所和高校，开展自主创新课题研究。区政府对上述人员给予工作津贴和租房补贴。</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13.</w:t>
      </w:r>
      <w:r>
        <w:rPr>
          <w:rFonts w:ascii="微软雅黑" w:eastAsia="微软雅黑" w:hAnsi="微软雅黑" w:hint="eastAsia"/>
          <w:color w:val="333333"/>
          <w:sz w:val="19"/>
          <w:szCs w:val="19"/>
        </w:rPr>
        <w:t>探索创新产品与服务约定政府购买制度。逐步推行科技应用示范项目与政府</w:t>
      </w:r>
      <w:proofErr w:type="gramStart"/>
      <w:r>
        <w:rPr>
          <w:rFonts w:ascii="微软雅黑" w:eastAsia="微软雅黑" w:hAnsi="微软雅黑" w:hint="eastAsia"/>
          <w:color w:val="333333"/>
          <w:sz w:val="19"/>
          <w:szCs w:val="19"/>
        </w:rPr>
        <w:t>首购相</w:t>
      </w:r>
      <w:proofErr w:type="gramEnd"/>
      <w:r>
        <w:rPr>
          <w:rFonts w:ascii="微软雅黑" w:eastAsia="微软雅黑" w:hAnsi="微软雅黑" w:hint="eastAsia"/>
          <w:color w:val="333333"/>
          <w:sz w:val="19"/>
          <w:szCs w:val="19"/>
        </w:rPr>
        <w:t>结合的模式，促进创新产品的研发和规模化应用。对企业研发的新技术、新产品，在技术、性能等方面满足政府采购需求的条件下，政府采购应当购买；首次投放市场的，政府采购应当率先购买。</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14.</w:t>
      </w:r>
      <w:r>
        <w:rPr>
          <w:rFonts w:ascii="微软雅黑" w:eastAsia="微软雅黑" w:hAnsi="微软雅黑" w:hint="eastAsia"/>
          <w:color w:val="333333"/>
          <w:sz w:val="19"/>
          <w:szCs w:val="19"/>
        </w:rPr>
        <w:t>提高军民融合协同创新水平。支持企业与军工单位开展研发合作，对于承担军工科研项目的企业按照项目合同金额给予最高</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％的资助，最高资助</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万元。军工企业项目落户香洲区，采取“一事一议”的方式予以支持。</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（五）推动科技与金融深度融合发展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15.</w:t>
      </w:r>
      <w:r>
        <w:rPr>
          <w:rFonts w:ascii="微软雅黑" w:eastAsia="微软雅黑" w:hAnsi="微软雅黑" w:hint="eastAsia"/>
          <w:color w:val="333333"/>
          <w:sz w:val="19"/>
          <w:szCs w:val="19"/>
        </w:rPr>
        <w:t>解决企业“融资难”“融资贵”问题。</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）鼓励银行向科技型企业发放首笔信用贷款。对商业银行向无抵押、无担保和没有取得过贷款的香洲区科技型中小</w:t>
      </w:r>
      <w:proofErr w:type="gramStart"/>
      <w:r>
        <w:rPr>
          <w:rFonts w:ascii="微软雅黑" w:eastAsia="微软雅黑" w:hAnsi="微软雅黑" w:hint="eastAsia"/>
          <w:color w:val="333333"/>
          <w:sz w:val="19"/>
          <w:szCs w:val="19"/>
        </w:rPr>
        <w:t>微企业</w:t>
      </w:r>
      <w:proofErr w:type="gramEnd"/>
      <w:r>
        <w:rPr>
          <w:rFonts w:ascii="微软雅黑" w:eastAsia="微软雅黑" w:hAnsi="微软雅黑" w:hint="eastAsia"/>
          <w:color w:val="333333"/>
          <w:sz w:val="19"/>
          <w:szCs w:val="19"/>
        </w:rPr>
        <w:t>发放信用贷款，首</w:t>
      </w:r>
      <w:r>
        <w:rPr>
          <w:rFonts w:ascii="微软雅黑" w:eastAsia="微软雅黑" w:hAnsi="微软雅黑" w:hint="eastAsia"/>
          <w:color w:val="333333"/>
          <w:sz w:val="19"/>
          <w:szCs w:val="19"/>
        </w:rPr>
        <w:lastRenderedPageBreak/>
        <w:t>笔贷款形成的坏账损失，区政府给予</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％的风险补贴。单个企业贷款额度不超过</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）建立“四位一体”中小</w:t>
      </w:r>
      <w:proofErr w:type="gramStart"/>
      <w:r>
        <w:rPr>
          <w:rFonts w:ascii="微软雅黑" w:eastAsia="微软雅黑" w:hAnsi="微软雅黑" w:hint="eastAsia"/>
          <w:color w:val="333333"/>
          <w:sz w:val="19"/>
          <w:szCs w:val="19"/>
        </w:rPr>
        <w:t>微企业</w:t>
      </w:r>
      <w:proofErr w:type="gramEnd"/>
      <w:r>
        <w:rPr>
          <w:rFonts w:ascii="微软雅黑" w:eastAsia="微软雅黑" w:hAnsi="微软雅黑" w:hint="eastAsia"/>
          <w:color w:val="333333"/>
          <w:sz w:val="19"/>
          <w:szCs w:val="19"/>
        </w:rPr>
        <w:t>贷款风险补偿机制。建立政府、银行、保险公司（担保公司）、企业共同承担的中小</w:t>
      </w:r>
      <w:proofErr w:type="gramStart"/>
      <w:r>
        <w:rPr>
          <w:rFonts w:ascii="微软雅黑" w:eastAsia="微软雅黑" w:hAnsi="微软雅黑" w:hint="eastAsia"/>
          <w:color w:val="333333"/>
          <w:sz w:val="19"/>
          <w:szCs w:val="19"/>
        </w:rPr>
        <w:t>微企业</w:t>
      </w:r>
      <w:proofErr w:type="gramEnd"/>
      <w:r>
        <w:rPr>
          <w:rFonts w:ascii="微软雅黑" w:eastAsia="微软雅黑" w:hAnsi="微软雅黑" w:hint="eastAsia"/>
          <w:color w:val="333333"/>
          <w:sz w:val="19"/>
          <w:szCs w:val="19"/>
        </w:rPr>
        <w:t>贷款风险补偿资金池，合作银行为名录内的科</w:t>
      </w:r>
      <w:r>
        <w:rPr>
          <w:rFonts w:ascii="微软雅黑" w:eastAsia="微软雅黑" w:hAnsi="微软雅黑" w:hint="eastAsia"/>
          <w:color w:val="333333"/>
          <w:sz w:val="19"/>
          <w:szCs w:val="19"/>
        </w:rPr>
        <w:lastRenderedPageBreak/>
        <w:t>技型或中小</w:t>
      </w:r>
      <w:proofErr w:type="gramStart"/>
      <w:r>
        <w:rPr>
          <w:rFonts w:ascii="微软雅黑" w:eastAsia="微软雅黑" w:hAnsi="微软雅黑" w:hint="eastAsia"/>
          <w:color w:val="333333"/>
          <w:sz w:val="19"/>
          <w:szCs w:val="19"/>
        </w:rPr>
        <w:t>微企业</w:t>
      </w:r>
      <w:proofErr w:type="gramEnd"/>
      <w:r>
        <w:rPr>
          <w:rFonts w:ascii="微软雅黑" w:eastAsia="微软雅黑" w:hAnsi="微软雅黑" w:hint="eastAsia"/>
          <w:color w:val="333333"/>
          <w:sz w:val="19"/>
          <w:szCs w:val="19"/>
        </w:rPr>
        <w:t>发放信用、保证、抵押贷款，形成贷款损失的，由贷款风险补偿</w:t>
      </w:r>
      <w:proofErr w:type="gramStart"/>
      <w:r>
        <w:rPr>
          <w:rFonts w:ascii="微软雅黑" w:eastAsia="微软雅黑" w:hAnsi="微软雅黑" w:hint="eastAsia"/>
          <w:color w:val="333333"/>
          <w:sz w:val="19"/>
          <w:szCs w:val="19"/>
        </w:rPr>
        <w:t>资金池按贷款</w:t>
      </w:r>
      <w:proofErr w:type="gramEnd"/>
      <w:r>
        <w:rPr>
          <w:rFonts w:ascii="微软雅黑" w:eastAsia="微软雅黑" w:hAnsi="微软雅黑" w:hint="eastAsia"/>
          <w:color w:val="333333"/>
          <w:sz w:val="19"/>
          <w:szCs w:val="19"/>
        </w:rPr>
        <w:t>损失额</w:t>
      </w:r>
      <w:r>
        <w:rPr>
          <w:rFonts w:ascii="微软雅黑" w:eastAsia="微软雅黑" w:hAnsi="微软雅黑" w:hint="eastAsia"/>
          <w:color w:val="333333"/>
          <w:sz w:val="19"/>
          <w:szCs w:val="19"/>
        </w:rPr>
        <w:t>的</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％对合作银行予以补贴。单个企业贷款额度原则上不超过</w:t>
      </w:r>
      <w:r>
        <w:rPr>
          <w:rFonts w:ascii="微软雅黑" w:eastAsia="微软雅黑" w:hAnsi="微软雅黑" w:hint="eastAsia"/>
          <w:color w:val="333333"/>
          <w:sz w:val="19"/>
          <w:szCs w:val="19"/>
        </w:rPr>
        <w:t>500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）补贴企业银行贷款中间费用。支持科技型中小企业采用保证保险贷款、担保贷</w:t>
      </w:r>
      <w:r>
        <w:rPr>
          <w:rFonts w:ascii="微软雅黑" w:eastAsia="微软雅黑" w:hAnsi="微软雅黑" w:hint="eastAsia"/>
          <w:color w:val="333333"/>
          <w:sz w:val="19"/>
          <w:szCs w:val="19"/>
        </w:rPr>
        <w:lastRenderedPageBreak/>
        <w:t>款、知识产权质押贷款、固定资产抵押贷款，因此产生的保险费、担保费、知识产权评估费、固定资产评估费等贷款中间费用，区政府给予补贴。每年每家企业获得补贴总额不超过</w:t>
      </w:r>
      <w:r>
        <w:rPr>
          <w:rFonts w:ascii="微软雅黑" w:eastAsia="微软雅黑" w:hAnsi="微软雅黑" w:hint="eastAsia"/>
          <w:color w:val="333333"/>
          <w:sz w:val="19"/>
          <w:szCs w:val="19"/>
        </w:rPr>
        <w:t>25</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16.</w:t>
      </w:r>
      <w:r>
        <w:rPr>
          <w:rFonts w:ascii="微软雅黑" w:eastAsia="微软雅黑" w:hAnsi="微软雅黑" w:hint="eastAsia"/>
          <w:color w:val="333333"/>
          <w:sz w:val="19"/>
          <w:szCs w:val="19"/>
        </w:rPr>
        <w:t>扶持企业上市发展。给予“主板、中小板、创业板”上市企业最高</w:t>
      </w:r>
      <w:r>
        <w:rPr>
          <w:rFonts w:ascii="微软雅黑" w:eastAsia="微软雅黑" w:hAnsi="微软雅黑" w:hint="eastAsia"/>
          <w:color w:val="333333"/>
          <w:sz w:val="19"/>
          <w:szCs w:val="19"/>
        </w:rPr>
        <w:t>300</w:t>
      </w:r>
      <w:r>
        <w:rPr>
          <w:rFonts w:ascii="微软雅黑" w:eastAsia="微软雅黑" w:hAnsi="微软雅黑" w:hint="eastAsia"/>
          <w:color w:val="333333"/>
          <w:sz w:val="19"/>
          <w:szCs w:val="19"/>
        </w:rPr>
        <w:t>万元奖励。</w:t>
      </w:r>
      <w:r>
        <w:rPr>
          <w:rFonts w:ascii="微软雅黑" w:eastAsia="微软雅黑" w:hAnsi="微软雅黑" w:hint="eastAsia"/>
          <w:color w:val="333333"/>
          <w:sz w:val="19"/>
          <w:szCs w:val="19"/>
        </w:rPr>
        <w:lastRenderedPageBreak/>
        <w:t>给予“新三板”挂牌企业最高</w:t>
      </w:r>
      <w:r>
        <w:rPr>
          <w:rFonts w:ascii="微软雅黑" w:eastAsia="微软雅黑" w:hAnsi="微软雅黑" w:hint="eastAsia"/>
          <w:color w:val="333333"/>
          <w:sz w:val="19"/>
          <w:szCs w:val="19"/>
        </w:rPr>
        <w:t>160</w:t>
      </w:r>
      <w:r>
        <w:rPr>
          <w:rFonts w:ascii="微软雅黑" w:eastAsia="微软雅黑" w:hAnsi="微软雅黑" w:hint="eastAsia"/>
          <w:color w:val="333333"/>
          <w:sz w:val="19"/>
          <w:szCs w:val="19"/>
        </w:rPr>
        <w:t>万元奖励，若挂牌企业被纳入创新层，另外给予</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万元奖励。给予企业境外上市最高</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万元奖励。异地收购上市公司</w:t>
      </w:r>
      <w:proofErr w:type="gramStart"/>
      <w:r>
        <w:rPr>
          <w:rFonts w:ascii="微软雅黑" w:eastAsia="微软雅黑" w:hAnsi="微软雅黑" w:hint="eastAsia"/>
          <w:color w:val="333333"/>
          <w:sz w:val="19"/>
          <w:szCs w:val="19"/>
        </w:rPr>
        <w:t>迁回</w:t>
      </w:r>
      <w:proofErr w:type="gramEnd"/>
      <w:r>
        <w:rPr>
          <w:rFonts w:ascii="微软雅黑" w:eastAsia="微软雅黑" w:hAnsi="微软雅黑" w:hint="eastAsia"/>
          <w:color w:val="333333"/>
          <w:sz w:val="19"/>
          <w:szCs w:val="19"/>
        </w:rPr>
        <w:t>香洲区的最高给予</w:t>
      </w:r>
      <w:r>
        <w:rPr>
          <w:rFonts w:ascii="微软雅黑" w:eastAsia="微软雅黑" w:hAnsi="微软雅黑" w:hint="eastAsia"/>
          <w:color w:val="333333"/>
          <w:sz w:val="19"/>
          <w:szCs w:val="19"/>
        </w:rPr>
        <w:t>300</w:t>
      </w:r>
      <w:r>
        <w:rPr>
          <w:rFonts w:ascii="微软雅黑" w:eastAsia="微软雅黑" w:hAnsi="微软雅黑" w:hint="eastAsia"/>
          <w:color w:val="333333"/>
          <w:sz w:val="19"/>
          <w:szCs w:val="19"/>
        </w:rPr>
        <w:t>万元奖励。再融资的最高给予</w:t>
      </w:r>
      <w:r>
        <w:rPr>
          <w:rFonts w:ascii="微软雅黑" w:eastAsia="微软雅黑" w:hAnsi="微软雅黑" w:hint="eastAsia"/>
          <w:color w:val="333333"/>
          <w:sz w:val="19"/>
          <w:szCs w:val="19"/>
        </w:rPr>
        <w:t>180</w:t>
      </w:r>
      <w:r>
        <w:rPr>
          <w:rFonts w:ascii="微软雅黑" w:eastAsia="微软雅黑" w:hAnsi="微软雅黑" w:hint="eastAsia"/>
          <w:color w:val="333333"/>
          <w:sz w:val="19"/>
          <w:szCs w:val="19"/>
        </w:rPr>
        <w:t>万元奖励，</w:t>
      </w:r>
      <w:proofErr w:type="gramStart"/>
      <w:r>
        <w:rPr>
          <w:rFonts w:ascii="微软雅黑" w:eastAsia="微软雅黑" w:hAnsi="微软雅黑" w:hint="eastAsia"/>
          <w:color w:val="333333"/>
          <w:sz w:val="19"/>
          <w:szCs w:val="19"/>
        </w:rPr>
        <w:t>“新三板”转板的</w:t>
      </w:r>
      <w:proofErr w:type="gramEnd"/>
      <w:r>
        <w:rPr>
          <w:rFonts w:ascii="微软雅黑" w:eastAsia="微软雅黑" w:hAnsi="微软雅黑" w:hint="eastAsia"/>
          <w:color w:val="333333"/>
          <w:sz w:val="19"/>
          <w:szCs w:val="19"/>
        </w:rPr>
        <w:t>最高给予</w:t>
      </w:r>
      <w:r>
        <w:rPr>
          <w:rFonts w:ascii="微软雅黑" w:eastAsia="微软雅黑" w:hAnsi="微软雅黑" w:hint="eastAsia"/>
          <w:color w:val="333333"/>
          <w:sz w:val="19"/>
          <w:szCs w:val="19"/>
        </w:rPr>
        <w:t>140</w:t>
      </w:r>
      <w:r>
        <w:rPr>
          <w:rFonts w:ascii="微软雅黑" w:eastAsia="微软雅黑" w:hAnsi="微软雅黑" w:hint="eastAsia"/>
          <w:color w:val="333333"/>
          <w:sz w:val="19"/>
          <w:szCs w:val="19"/>
        </w:rPr>
        <w:t>万元奖励，</w:t>
      </w:r>
      <w:r>
        <w:rPr>
          <w:rFonts w:ascii="微软雅黑" w:eastAsia="微软雅黑" w:hAnsi="微软雅黑" w:hint="eastAsia"/>
          <w:color w:val="333333"/>
          <w:sz w:val="19"/>
          <w:szCs w:val="19"/>
        </w:rPr>
        <w:lastRenderedPageBreak/>
        <w:t>区域性股权交易市场挂牌的最高给予</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17.</w:t>
      </w:r>
      <w:r>
        <w:rPr>
          <w:rFonts w:ascii="微软雅黑" w:eastAsia="微软雅黑" w:hAnsi="微软雅黑" w:hint="eastAsia"/>
          <w:color w:val="333333"/>
          <w:sz w:val="19"/>
          <w:szCs w:val="19"/>
        </w:rPr>
        <w:t>支持上市企业并购重组。鼓励企业通过并购（重组）、被并购（重组）发展壮大，上市企业通过并购（重组）成为控股股东且合并报表到香洲区企业的，按并购金额的一定比例给予奖励，最高不超过</w:t>
      </w:r>
      <w:r>
        <w:rPr>
          <w:rFonts w:ascii="微软雅黑" w:eastAsia="微软雅黑" w:hAnsi="微软雅黑" w:hint="eastAsia"/>
          <w:color w:val="333333"/>
          <w:sz w:val="19"/>
          <w:szCs w:val="19"/>
        </w:rPr>
        <w:t>180</w:t>
      </w:r>
      <w:r>
        <w:rPr>
          <w:rFonts w:ascii="微软雅黑" w:eastAsia="微软雅黑" w:hAnsi="微软雅黑" w:hint="eastAsia"/>
          <w:color w:val="333333"/>
          <w:sz w:val="19"/>
          <w:szCs w:val="19"/>
        </w:rPr>
        <w:t>万元。企业被并购（重组）后</w:t>
      </w:r>
      <w:r>
        <w:rPr>
          <w:rFonts w:ascii="微软雅黑" w:eastAsia="微软雅黑" w:hAnsi="微软雅黑" w:hint="eastAsia"/>
          <w:color w:val="333333"/>
          <w:sz w:val="19"/>
          <w:szCs w:val="19"/>
        </w:rPr>
        <w:lastRenderedPageBreak/>
        <w:t>产值、税收仍留在香洲区，按被并购企业对香洲区财力贡献增量的</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％给予企业奖励</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18.</w:t>
      </w:r>
      <w:r>
        <w:rPr>
          <w:rFonts w:ascii="微软雅黑" w:eastAsia="微软雅黑" w:hAnsi="微软雅黑" w:hint="eastAsia"/>
          <w:color w:val="333333"/>
          <w:sz w:val="19"/>
          <w:szCs w:val="19"/>
        </w:rPr>
        <w:t>鼓励股权投资机构发展。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）鼓励股权投资基金落户香洲。在香洲区纳税，经中</w:t>
      </w:r>
      <w:proofErr w:type="gramStart"/>
      <w:r>
        <w:rPr>
          <w:rFonts w:ascii="微软雅黑" w:eastAsia="微软雅黑" w:hAnsi="微软雅黑" w:hint="eastAsia"/>
          <w:color w:val="333333"/>
          <w:sz w:val="19"/>
          <w:szCs w:val="19"/>
        </w:rPr>
        <w:t>基协或</w:t>
      </w:r>
      <w:proofErr w:type="gramEnd"/>
      <w:r>
        <w:rPr>
          <w:rFonts w:ascii="微软雅黑" w:eastAsia="微软雅黑" w:hAnsi="微软雅黑" w:hint="eastAsia"/>
          <w:color w:val="333333"/>
          <w:sz w:val="19"/>
          <w:szCs w:val="19"/>
        </w:rPr>
        <w:t>香洲区金融服务中心备案，实缴资本在</w:t>
      </w:r>
      <w:r>
        <w:rPr>
          <w:rFonts w:ascii="微软雅黑" w:eastAsia="微软雅黑" w:hAnsi="微软雅黑" w:hint="eastAsia"/>
          <w:color w:val="333333"/>
          <w:sz w:val="19"/>
          <w:szCs w:val="19"/>
        </w:rPr>
        <w:t>3000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lastRenderedPageBreak/>
        <w:t>（含）以上的股权投资基金，在退出所投资的项目时，按项目退出后形成的所得税香洲区留存部分的</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％奖励给股权投资基金管理公司。股权投资基金将所投资企业的税务关系迁入香洲区，自所投资的企业在香洲区纳税年度起，前三年每年按所投资企业的区域经济贡</w:t>
      </w:r>
      <w:r>
        <w:rPr>
          <w:rFonts w:ascii="微软雅黑" w:eastAsia="微软雅黑" w:hAnsi="微软雅黑" w:hint="eastAsia"/>
          <w:color w:val="333333"/>
          <w:sz w:val="19"/>
          <w:szCs w:val="19"/>
        </w:rPr>
        <w:lastRenderedPageBreak/>
        <w:t>献的</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％奖励给股权投资基金管理公司。</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）鼓励股权投资基金投资香洲区企业。股权投资基金对香洲区企业（项目）股权投资资金</w:t>
      </w:r>
      <w:r>
        <w:rPr>
          <w:rFonts w:ascii="微软雅黑" w:eastAsia="微软雅黑" w:hAnsi="微软雅黑" w:hint="eastAsia"/>
          <w:color w:val="333333"/>
          <w:sz w:val="19"/>
          <w:szCs w:val="19"/>
        </w:rPr>
        <w:t>规模累计达到</w:t>
      </w:r>
      <w:r>
        <w:rPr>
          <w:rFonts w:ascii="微软雅黑" w:eastAsia="微软雅黑" w:hAnsi="微软雅黑" w:hint="eastAsia"/>
          <w:color w:val="333333"/>
          <w:sz w:val="19"/>
          <w:szCs w:val="19"/>
        </w:rPr>
        <w:t>2000</w:t>
      </w:r>
      <w:r>
        <w:rPr>
          <w:rFonts w:ascii="微软雅黑" w:eastAsia="微软雅黑" w:hAnsi="微软雅黑" w:hint="eastAsia"/>
          <w:color w:val="333333"/>
          <w:sz w:val="19"/>
          <w:szCs w:val="19"/>
        </w:rPr>
        <w:t>万元及以上，一次性奖励股权投资基金管理公司</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万元；在此基础上，股权投资基金将所投香洲区企业（投资</w:t>
      </w:r>
      <w:r>
        <w:rPr>
          <w:rFonts w:ascii="微软雅黑" w:eastAsia="微软雅黑" w:hAnsi="微软雅黑" w:hint="eastAsia"/>
          <w:color w:val="333333"/>
          <w:sz w:val="19"/>
          <w:szCs w:val="19"/>
        </w:rPr>
        <w:t>300</w:t>
      </w:r>
      <w:r>
        <w:rPr>
          <w:rFonts w:ascii="微软雅黑" w:eastAsia="微软雅黑" w:hAnsi="微软雅黑" w:hint="eastAsia"/>
          <w:color w:val="333333"/>
          <w:sz w:val="19"/>
          <w:szCs w:val="19"/>
        </w:rPr>
        <w:t>万</w:t>
      </w:r>
      <w:r>
        <w:rPr>
          <w:rFonts w:ascii="微软雅黑" w:eastAsia="微软雅黑" w:hAnsi="微软雅黑" w:hint="eastAsia"/>
          <w:color w:val="333333"/>
          <w:sz w:val="19"/>
          <w:szCs w:val="19"/>
        </w:rPr>
        <w:lastRenderedPageBreak/>
        <w:t>元及以上）培育成为上市企业、新三板企业、高新技术认证企业，可分别奖励股权投资基金管理公司</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75</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）充分发挥政府投资基金引导作用。鼓励国内外股权投资机构、省级以上孵化园区与香洲区政府投资引导基金合作，积极争取国家、省、市</w:t>
      </w:r>
      <w:r>
        <w:rPr>
          <w:rFonts w:ascii="微软雅黑" w:eastAsia="微软雅黑" w:hAnsi="微软雅黑" w:hint="eastAsia"/>
          <w:color w:val="333333"/>
          <w:sz w:val="19"/>
          <w:szCs w:val="19"/>
        </w:rPr>
        <w:lastRenderedPageBreak/>
        <w:t>产业投资引导基金的支持，在香洲区设立天使投资、创业投资、产业并购等不同投资阶段子基金，重点投向初创期、创业期的</w:t>
      </w:r>
      <w:proofErr w:type="gramStart"/>
      <w:r>
        <w:rPr>
          <w:rFonts w:ascii="微软雅黑" w:eastAsia="微软雅黑" w:hAnsi="微软雅黑" w:hint="eastAsia"/>
          <w:color w:val="333333"/>
          <w:sz w:val="19"/>
          <w:szCs w:val="19"/>
        </w:rPr>
        <w:t>高端新型</w:t>
      </w:r>
      <w:proofErr w:type="gramEnd"/>
      <w:r>
        <w:rPr>
          <w:rFonts w:ascii="微软雅黑" w:eastAsia="微软雅黑" w:hAnsi="微软雅黑" w:hint="eastAsia"/>
          <w:color w:val="333333"/>
          <w:sz w:val="19"/>
          <w:szCs w:val="19"/>
        </w:rPr>
        <w:t>信息、智能家居</w:t>
      </w:r>
      <w:r>
        <w:rPr>
          <w:rFonts w:ascii="微软雅黑" w:eastAsia="微软雅黑" w:hAnsi="微软雅黑" w:hint="eastAsia"/>
          <w:color w:val="333333"/>
          <w:sz w:val="19"/>
          <w:szCs w:val="19"/>
        </w:rPr>
        <w:t>、智能制造、人工智能、生物医药等战略性新兴产业。</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19.</w:t>
      </w:r>
      <w:r>
        <w:rPr>
          <w:rFonts w:ascii="微软雅黑" w:eastAsia="微软雅黑" w:hAnsi="微软雅黑" w:hint="eastAsia"/>
          <w:color w:val="333333"/>
          <w:sz w:val="19"/>
          <w:szCs w:val="19"/>
        </w:rPr>
        <w:t>促进金融产业集聚发展。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）支持金融类总部企业扎根香洲。对落户香洲区，经国家金融监管部门批准设立或备案的金融类总部企业，每年按其对香洲区财力贡献增量的</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％奖励企业高管团队，最高不超过</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）扶持金融分支机构落户香洲。经国家金融监管部</w:t>
      </w:r>
      <w:r>
        <w:rPr>
          <w:rFonts w:ascii="微软雅黑" w:eastAsia="微软雅黑" w:hAnsi="微软雅黑" w:hint="eastAsia"/>
          <w:color w:val="333333"/>
          <w:sz w:val="19"/>
          <w:szCs w:val="19"/>
        </w:rPr>
        <w:lastRenderedPageBreak/>
        <w:t>门批准设立或备案、在香洲区落户的一、二级金融分支机构，在市最高给予</w:t>
      </w:r>
      <w:r>
        <w:rPr>
          <w:rFonts w:ascii="微软雅黑" w:eastAsia="微软雅黑" w:hAnsi="微软雅黑" w:hint="eastAsia"/>
          <w:color w:val="333333"/>
          <w:sz w:val="19"/>
          <w:szCs w:val="19"/>
        </w:rPr>
        <w:t>300</w:t>
      </w:r>
      <w:r>
        <w:rPr>
          <w:rFonts w:ascii="微软雅黑" w:eastAsia="微软雅黑" w:hAnsi="微软雅黑" w:hint="eastAsia"/>
          <w:color w:val="333333"/>
          <w:sz w:val="19"/>
          <w:szCs w:val="19"/>
        </w:rPr>
        <w:t>万元资金扶持的基础上，再按其运营资本实际到位额度的</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‰给予高管团队一次性奖励，每家分支机构最高不超过</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）鼓励金融聚集平台发展。对建筑面积不低于</w:t>
      </w:r>
      <w:r>
        <w:rPr>
          <w:rFonts w:ascii="微软雅黑" w:eastAsia="微软雅黑" w:hAnsi="微软雅黑" w:hint="eastAsia"/>
          <w:color w:val="333333"/>
          <w:sz w:val="19"/>
          <w:szCs w:val="19"/>
        </w:rPr>
        <w:t>8000</w:t>
      </w:r>
      <w:r>
        <w:rPr>
          <w:rFonts w:ascii="微软雅黑" w:eastAsia="微软雅黑" w:hAnsi="微软雅黑" w:hint="eastAsia"/>
          <w:color w:val="333333"/>
          <w:sz w:val="19"/>
          <w:szCs w:val="19"/>
        </w:rPr>
        <w:t>平方米，入驻金融类机</w:t>
      </w:r>
      <w:r>
        <w:rPr>
          <w:rFonts w:ascii="微软雅黑" w:eastAsia="微软雅黑" w:hAnsi="微软雅黑" w:hint="eastAsia"/>
          <w:color w:val="333333"/>
          <w:sz w:val="19"/>
          <w:szCs w:val="19"/>
        </w:rPr>
        <w:lastRenderedPageBreak/>
        <w:t>构及金融服务机构占全部入驻企业的比例不低于</w:t>
      </w:r>
      <w:r>
        <w:rPr>
          <w:rFonts w:ascii="微软雅黑" w:eastAsia="微软雅黑" w:hAnsi="微软雅黑" w:hint="eastAsia"/>
          <w:color w:val="333333"/>
          <w:sz w:val="19"/>
          <w:szCs w:val="19"/>
        </w:rPr>
        <w:t>70</w:t>
      </w:r>
      <w:r>
        <w:rPr>
          <w:rFonts w:ascii="微软雅黑" w:eastAsia="微软雅黑" w:hAnsi="微软雅黑" w:hint="eastAsia"/>
          <w:color w:val="333333"/>
          <w:sz w:val="19"/>
          <w:szCs w:val="19"/>
        </w:rPr>
        <w:t>％的金融聚集平台，按入驻金融类机构及金融服务机构对香洲区财力贡献的</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％奖励运营团队，每年单个运营团队最高不超过</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万元，奖励期限不超过</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年。入驻金融类机构当年对香洲区财力贡献达到</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万元及以上，按</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元</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平方米</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月的标准给</w:t>
      </w:r>
      <w:r>
        <w:rPr>
          <w:rFonts w:ascii="微软雅黑" w:eastAsia="微软雅黑" w:hAnsi="微软雅黑" w:hint="eastAsia"/>
          <w:color w:val="333333"/>
          <w:sz w:val="19"/>
          <w:szCs w:val="19"/>
        </w:rPr>
        <w:lastRenderedPageBreak/>
        <w:t>予房租支持，补贴面积不超过</w:t>
      </w:r>
      <w:r>
        <w:rPr>
          <w:rFonts w:ascii="微软雅黑" w:eastAsia="微软雅黑" w:hAnsi="微软雅黑" w:hint="eastAsia"/>
          <w:color w:val="333333"/>
          <w:sz w:val="19"/>
          <w:szCs w:val="19"/>
        </w:rPr>
        <w:t>500</w:t>
      </w:r>
      <w:r>
        <w:rPr>
          <w:rFonts w:ascii="微软雅黑" w:eastAsia="微软雅黑" w:hAnsi="微软雅黑" w:hint="eastAsia"/>
          <w:color w:val="333333"/>
          <w:sz w:val="19"/>
          <w:szCs w:val="19"/>
        </w:rPr>
        <w:t>平方米，补贴年限为三年。</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（六）加强企业知识产权保护和运用</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鼓励企业申报发明专利。国内发明专利授权每件资助</w:t>
      </w:r>
      <w:r>
        <w:rPr>
          <w:rFonts w:ascii="微软雅黑" w:eastAsia="微软雅黑" w:hAnsi="微软雅黑" w:hint="eastAsia"/>
          <w:color w:val="333333"/>
          <w:sz w:val="19"/>
          <w:szCs w:val="19"/>
        </w:rPr>
        <w:t>0.5</w:t>
      </w:r>
      <w:r>
        <w:rPr>
          <w:rFonts w:ascii="微软雅黑" w:eastAsia="微软雅黑" w:hAnsi="微软雅黑" w:hint="eastAsia"/>
          <w:color w:val="333333"/>
          <w:sz w:val="19"/>
          <w:szCs w:val="19"/>
        </w:rPr>
        <w:t>万元；国外</w:t>
      </w:r>
      <w:r>
        <w:rPr>
          <w:rFonts w:ascii="微软雅黑" w:eastAsia="微软雅黑" w:hAnsi="微软雅黑" w:hint="eastAsia"/>
          <w:color w:val="333333"/>
          <w:sz w:val="19"/>
          <w:szCs w:val="19"/>
        </w:rPr>
        <w:t>发明专利授权：获得美国、日本、欧洲国家或</w:t>
      </w:r>
      <w:r>
        <w:rPr>
          <w:rFonts w:ascii="微软雅黑" w:eastAsia="微软雅黑" w:hAnsi="微软雅黑" w:hint="eastAsia"/>
          <w:color w:val="333333"/>
          <w:sz w:val="19"/>
          <w:szCs w:val="19"/>
        </w:rPr>
        <w:lastRenderedPageBreak/>
        <w:t>欧盟的发明专利授权每件资助</w:t>
      </w:r>
      <w:r>
        <w:rPr>
          <w:rFonts w:ascii="微软雅黑" w:eastAsia="微软雅黑" w:hAnsi="微软雅黑" w:hint="eastAsia"/>
          <w:color w:val="333333"/>
          <w:sz w:val="19"/>
          <w:szCs w:val="19"/>
        </w:rPr>
        <w:t>1.5</w:t>
      </w:r>
      <w:r>
        <w:rPr>
          <w:rFonts w:ascii="微软雅黑" w:eastAsia="微软雅黑" w:hAnsi="微软雅黑" w:hint="eastAsia"/>
          <w:color w:val="333333"/>
          <w:sz w:val="19"/>
          <w:szCs w:val="19"/>
        </w:rPr>
        <w:t>万元，其他国家</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万元。单个企业每年度最高资助额不超过</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21.</w:t>
      </w:r>
      <w:r>
        <w:rPr>
          <w:rFonts w:ascii="微软雅黑" w:eastAsia="微软雅黑" w:hAnsi="微软雅黑" w:hint="eastAsia"/>
          <w:color w:val="333333"/>
          <w:sz w:val="19"/>
          <w:szCs w:val="19"/>
        </w:rPr>
        <w:t>探索建立知识产权质押融资登记制度。对银行向创新型中小</w:t>
      </w:r>
      <w:proofErr w:type="gramStart"/>
      <w:r>
        <w:rPr>
          <w:rFonts w:ascii="微软雅黑" w:eastAsia="微软雅黑" w:hAnsi="微软雅黑" w:hint="eastAsia"/>
          <w:color w:val="333333"/>
          <w:sz w:val="19"/>
          <w:szCs w:val="19"/>
        </w:rPr>
        <w:t>微企业</w:t>
      </w:r>
      <w:proofErr w:type="gramEnd"/>
      <w:r>
        <w:rPr>
          <w:rFonts w:ascii="微软雅黑" w:eastAsia="微软雅黑" w:hAnsi="微软雅黑" w:hint="eastAsia"/>
          <w:color w:val="333333"/>
          <w:sz w:val="19"/>
          <w:szCs w:val="19"/>
        </w:rPr>
        <w:t>开展知识产权质押融资产生的实际坏账损失，予以其中的</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％、单笔最高</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万元的事后风险补偿。</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22.</w:t>
      </w:r>
      <w:r>
        <w:rPr>
          <w:rFonts w:ascii="微软雅黑" w:eastAsia="微软雅黑" w:hAnsi="微软雅黑" w:hint="eastAsia"/>
          <w:color w:val="333333"/>
          <w:sz w:val="19"/>
          <w:szCs w:val="19"/>
        </w:rPr>
        <w:t>鼓励企业提升知识产权优势。对每年新认定的市知识产权优势企业给予一次性资助</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万元。对获得《企业知识产权管理规范》（国家标准</w:t>
      </w:r>
      <w:r>
        <w:rPr>
          <w:rFonts w:ascii="微软雅黑" w:eastAsia="微软雅黑" w:hAnsi="微软雅黑" w:hint="eastAsia"/>
          <w:color w:val="333333"/>
          <w:sz w:val="19"/>
          <w:szCs w:val="19"/>
        </w:rPr>
        <w:t>GB/T 29490-2013</w:t>
      </w:r>
      <w:r>
        <w:rPr>
          <w:rFonts w:ascii="微软雅黑" w:eastAsia="微软雅黑" w:hAnsi="微软雅黑" w:hint="eastAsia"/>
          <w:color w:val="333333"/>
          <w:sz w:val="19"/>
          <w:szCs w:val="19"/>
        </w:rPr>
        <w:t>）贯标认证的企业，给予一次性资助</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万元。对辅导</w:t>
      </w:r>
      <w:r>
        <w:rPr>
          <w:rFonts w:ascii="微软雅黑" w:eastAsia="微软雅黑" w:hAnsi="微软雅黑" w:hint="eastAsia"/>
          <w:color w:val="333333"/>
          <w:sz w:val="19"/>
          <w:szCs w:val="19"/>
        </w:rPr>
        <w:t>企业通过贯标认定的科技服务机构，给予最高不超过</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万元的工作补贴。</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（七）鼓励科技服务机构发展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23.</w:t>
      </w:r>
      <w:r>
        <w:rPr>
          <w:rFonts w:ascii="微软雅黑" w:eastAsia="微软雅黑" w:hAnsi="微软雅黑" w:hint="eastAsia"/>
          <w:color w:val="333333"/>
          <w:sz w:val="19"/>
          <w:szCs w:val="19"/>
        </w:rPr>
        <w:t>鼓励科技服务机构辅导高企认定。科技服务机构为企业提供辅导服务，每成功认定</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家给予</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万元工作补贴。</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24.</w:t>
      </w:r>
      <w:r>
        <w:rPr>
          <w:rFonts w:ascii="微软雅黑" w:eastAsia="微软雅黑" w:hAnsi="微软雅黑" w:hint="eastAsia"/>
          <w:color w:val="333333"/>
          <w:sz w:val="19"/>
          <w:szCs w:val="19"/>
        </w:rPr>
        <w:t>大力培育和发展科技服务机构。设立科技中介服务机构发展专项资金，用于促进创</w:t>
      </w:r>
      <w:r>
        <w:rPr>
          <w:rFonts w:ascii="微软雅黑" w:eastAsia="微软雅黑" w:hAnsi="微软雅黑" w:hint="eastAsia"/>
          <w:color w:val="333333"/>
          <w:sz w:val="19"/>
          <w:szCs w:val="19"/>
        </w:rPr>
        <w:lastRenderedPageBreak/>
        <w:t>新孵化、成果推广、科技评估等活动和机构的建设。建立和推行政府购买科技公共服务制度。</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二、加快产业转型升级步伐，促进新型产业加速发展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（一）大力发展</w:t>
      </w:r>
      <w:proofErr w:type="gramStart"/>
      <w:r>
        <w:rPr>
          <w:rFonts w:ascii="微软雅黑" w:eastAsia="微软雅黑" w:hAnsi="微软雅黑" w:hint="eastAsia"/>
          <w:color w:val="333333"/>
          <w:sz w:val="19"/>
          <w:szCs w:val="19"/>
        </w:rPr>
        <w:t>高端新型</w:t>
      </w:r>
      <w:proofErr w:type="gramEnd"/>
      <w:r>
        <w:rPr>
          <w:rFonts w:ascii="微软雅黑" w:eastAsia="微软雅黑" w:hAnsi="微软雅黑" w:hint="eastAsia"/>
          <w:color w:val="333333"/>
          <w:sz w:val="19"/>
          <w:szCs w:val="19"/>
        </w:rPr>
        <w:t>信息产业</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25.</w:t>
      </w:r>
      <w:r>
        <w:rPr>
          <w:rFonts w:ascii="微软雅黑" w:eastAsia="微软雅黑" w:hAnsi="微软雅黑" w:hint="eastAsia"/>
          <w:color w:val="333333"/>
          <w:sz w:val="19"/>
          <w:szCs w:val="19"/>
        </w:rPr>
        <w:t>加大</w:t>
      </w:r>
      <w:proofErr w:type="gramStart"/>
      <w:r>
        <w:rPr>
          <w:rFonts w:ascii="微软雅黑" w:eastAsia="微软雅黑" w:hAnsi="微软雅黑" w:hint="eastAsia"/>
          <w:color w:val="333333"/>
          <w:sz w:val="19"/>
          <w:szCs w:val="19"/>
        </w:rPr>
        <w:t>高端新型</w:t>
      </w:r>
      <w:proofErr w:type="gramEnd"/>
      <w:r>
        <w:rPr>
          <w:rFonts w:ascii="微软雅黑" w:eastAsia="微软雅黑" w:hAnsi="微软雅黑" w:hint="eastAsia"/>
          <w:color w:val="333333"/>
          <w:sz w:val="19"/>
          <w:szCs w:val="19"/>
        </w:rPr>
        <w:t>信息产业项目政策支</w:t>
      </w:r>
      <w:r>
        <w:rPr>
          <w:rFonts w:ascii="微软雅黑" w:eastAsia="微软雅黑" w:hAnsi="微软雅黑" w:hint="eastAsia"/>
          <w:color w:val="333333"/>
          <w:sz w:val="19"/>
          <w:szCs w:val="19"/>
        </w:rPr>
        <w:t>持力度。把软件和集成电路、移动互联网、物联网、大数据、</w:t>
      </w:r>
      <w:proofErr w:type="gramStart"/>
      <w:r>
        <w:rPr>
          <w:rFonts w:ascii="微软雅黑" w:eastAsia="微软雅黑" w:hAnsi="微软雅黑" w:hint="eastAsia"/>
          <w:color w:val="333333"/>
          <w:sz w:val="19"/>
          <w:szCs w:val="19"/>
        </w:rPr>
        <w:t>云计算等高端新型</w:t>
      </w:r>
      <w:proofErr w:type="gramEnd"/>
      <w:r>
        <w:rPr>
          <w:rFonts w:ascii="微软雅黑" w:eastAsia="微软雅黑" w:hAnsi="微软雅黑" w:hint="eastAsia"/>
          <w:color w:val="333333"/>
          <w:sz w:val="19"/>
          <w:szCs w:val="19"/>
        </w:rPr>
        <w:t>信息产业列为香洲区重点发展产业。区财政安排专项产业发展资金，出台专项产业扶持办法，形成</w:t>
      </w:r>
      <w:proofErr w:type="gramStart"/>
      <w:r>
        <w:rPr>
          <w:rFonts w:ascii="微软雅黑" w:eastAsia="微软雅黑" w:hAnsi="微软雅黑" w:hint="eastAsia"/>
          <w:color w:val="333333"/>
          <w:sz w:val="19"/>
          <w:szCs w:val="19"/>
        </w:rPr>
        <w:t>高端新型</w:t>
      </w:r>
      <w:proofErr w:type="gramEnd"/>
      <w:r>
        <w:rPr>
          <w:rFonts w:ascii="微软雅黑" w:eastAsia="微软雅黑" w:hAnsi="微软雅黑" w:hint="eastAsia"/>
          <w:color w:val="333333"/>
          <w:sz w:val="19"/>
          <w:szCs w:val="19"/>
        </w:rPr>
        <w:t>信息产业发展政策洼地，打造香洲经济发展的重要增长极。</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（二）大力推进装备制造业发展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26.</w:t>
      </w:r>
      <w:r>
        <w:rPr>
          <w:rFonts w:ascii="微软雅黑" w:eastAsia="微软雅黑" w:hAnsi="微软雅黑" w:hint="eastAsia"/>
          <w:color w:val="333333"/>
          <w:sz w:val="19"/>
          <w:szCs w:val="19"/>
        </w:rPr>
        <w:t>支持首台（套）重大技术装备推广应用。经认定为国内、省内首台（套）的重大技术装备产品，在实现首台（套）销售后，按单台（套）销售价格的</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％给予奖励，单个项目</w:t>
      </w:r>
      <w:r>
        <w:rPr>
          <w:rFonts w:ascii="微软雅黑" w:eastAsia="微软雅黑" w:hAnsi="微软雅黑" w:hint="eastAsia"/>
          <w:color w:val="333333"/>
          <w:sz w:val="19"/>
          <w:szCs w:val="19"/>
        </w:rPr>
        <w:lastRenderedPageBreak/>
        <w:t>奖励最高金额不超过</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27.</w:t>
      </w:r>
      <w:r>
        <w:rPr>
          <w:rFonts w:ascii="微软雅黑" w:eastAsia="微软雅黑" w:hAnsi="微软雅黑" w:hint="eastAsia"/>
          <w:color w:val="333333"/>
          <w:sz w:val="19"/>
          <w:szCs w:val="19"/>
        </w:rPr>
        <w:t>支持工作母机类装备制造项目发展。对新引进或新建、</w:t>
      </w:r>
      <w:r>
        <w:rPr>
          <w:rFonts w:ascii="微软雅黑" w:eastAsia="微软雅黑" w:hAnsi="微软雅黑" w:hint="eastAsia"/>
          <w:color w:val="333333"/>
          <w:sz w:val="19"/>
          <w:szCs w:val="19"/>
        </w:rPr>
        <w:t>扩建的工作母机类制造业项目，且实际投资额达到</w:t>
      </w:r>
      <w:r>
        <w:rPr>
          <w:rFonts w:ascii="微软雅黑" w:eastAsia="微软雅黑" w:hAnsi="微软雅黑" w:hint="eastAsia"/>
          <w:color w:val="333333"/>
          <w:sz w:val="19"/>
          <w:szCs w:val="19"/>
        </w:rPr>
        <w:t>3000</w:t>
      </w:r>
      <w:r>
        <w:rPr>
          <w:rFonts w:ascii="微软雅黑" w:eastAsia="微软雅黑" w:hAnsi="微软雅黑" w:hint="eastAsia"/>
          <w:color w:val="333333"/>
          <w:sz w:val="19"/>
          <w:szCs w:val="19"/>
        </w:rPr>
        <w:t>万元以上的，按已形成固定资产投资总额的</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‰予以分期奖补。</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28.</w:t>
      </w:r>
      <w:r>
        <w:rPr>
          <w:rFonts w:ascii="微软雅黑" w:eastAsia="微软雅黑" w:hAnsi="微软雅黑" w:hint="eastAsia"/>
          <w:color w:val="333333"/>
          <w:sz w:val="19"/>
          <w:szCs w:val="19"/>
        </w:rPr>
        <w:t>鼓励政企合作共建高端制造示范基地。在智能装备制造、机器人及自动化、人工智能等香洲区主导产业中遴选具有自主知识产权、较强科技创新能力、较强市场竞争力和较好发展前景的优质企业，采取政府资助、政企合作共建的形式，创建产业示范基地，发挥</w:t>
      </w:r>
      <w:r>
        <w:rPr>
          <w:rFonts w:ascii="微软雅黑" w:eastAsia="微软雅黑" w:hAnsi="微软雅黑" w:hint="eastAsia"/>
          <w:color w:val="333333"/>
          <w:sz w:val="19"/>
          <w:szCs w:val="19"/>
        </w:rPr>
        <w:lastRenderedPageBreak/>
        <w:t>示范引领作用，寻求产业突破发展。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（三）支持工业企业技术创新</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29.</w:t>
      </w:r>
      <w:r>
        <w:rPr>
          <w:rFonts w:ascii="微软雅黑" w:eastAsia="微软雅黑" w:hAnsi="微软雅黑" w:hint="eastAsia"/>
          <w:color w:val="333333"/>
          <w:sz w:val="19"/>
          <w:szCs w:val="19"/>
        </w:rPr>
        <w:t>支持企业开展“两化融合”工作。对实现计算机辅助设计应用、生产装备智能化、自动化等具</w:t>
      </w:r>
      <w:r>
        <w:rPr>
          <w:rFonts w:ascii="微软雅黑" w:eastAsia="微软雅黑" w:hAnsi="微软雅黑" w:hint="eastAsia"/>
          <w:color w:val="333333"/>
          <w:sz w:val="19"/>
          <w:szCs w:val="19"/>
        </w:rPr>
        <w:t>有工业化与信息化深度融合典型示范作用，且投</w:t>
      </w:r>
      <w:r>
        <w:rPr>
          <w:rFonts w:ascii="微软雅黑" w:eastAsia="微软雅黑" w:hAnsi="微软雅黑" w:hint="eastAsia"/>
          <w:color w:val="333333"/>
          <w:sz w:val="19"/>
          <w:szCs w:val="19"/>
        </w:rPr>
        <w:lastRenderedPageBreak/>
        <w:t>入达到</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万元以上的项目，按项目投入的</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％给予最高</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万元补助。</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30.</w:t>
      </w:r>
      <w:r>
        <w:rPr>
          <w:rFonts w:ascii="微软雅黑" w:eastAsia="微软雅黑" w:hAnsi="微软雅黑" w:hint="eastAsia"/>
          <w:color w:val="333333"/>
          <w:sz w:val="19"/>
          <w:szCs w:val="19"/>
        </w:rPr>
        <w:t>支持新兴信息化产业项目发展。对具有商业推广价值，能形成规模经营效应的物联网、云计算、大数据、移动互联网、下一代互联网和信息安全等示范应用项目，按项目实际投入的</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％给予最高</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万元补助。</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31.</w:t>
      </w:r>
      <w:r>
        <w:rPr>
          <w:rFonts w:ascii="微软雅黑" w:eastAsia="微软雅黑" w:hAnsi="微软雅黑" w:hint="eastAsia"/>
          <w:color w:val="333333"/>
          <w:sz w:val="19"/>
          <w:szCs w:val="19"/>
        </w:rPr>
        <w:t>鼓励发展工业设计。对获得市级以上“工业设计中心”称号的企业，按其年度新增设计设备和软件投入的</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％给予最高</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万元补助；对获得红点奖、</w:t>
      </w:r>
      <w:r>
        <w:rPr>
          <w:rFonts w:ascii="微软雅黑" w:eastAsia="微软雅黑" w:hAnsi="微软雅黑" w:hint="eastAsia"/>
          <w:color w:val="333333"/>
          <w:sz w:val="19"/>
          <w:szCs w:val="19"/>
        </w:rPr>
        <w:t>IF</w:t>
      </w:r>
      <w:r>
        <w:rPr>
          <w:rFonts w:ascii="微软雅黑" w:eastAsia="微软雅黑" w:hAnsi="微软雅黑" w:hint="eastAsia"/>
          <w:color w:val="333333"/>
          <w:sz w:val="19"/>
          <w:szCs w:val="19"/>
        </w:rPr>
        <w:t>奖、中国优秀工业设计奖等的企业，单项给予最高</w:t>
      </w:r>
      <w:r>
        <w:rPr>
          <w:rFonts w:ascii="微软雅黑" w:eastAsia="微软雅黑" w:hAnsi="微软雅黑" w:hint="eastAsia"/>
          <w:color w:val="333333"/>
          <w:sz w:val="19"/>
          <w:szCs w:val="19"/>
        </w:rPr>
        <w:lastRenderedPageBreak/>
        <w:t>10</w:t>
      </w:r>
      <w:r>
        <w:rPr>
          <w:rFonts w:ascii="微软雅黑" w:eastAsia="微软雅黑" w:hAnsi="微软雅黑" w:hint="eastAsia"/>
          <w:color w:val="333333"/>
          <w:sz w:val="19"/>
          <w:szCs w:val="19"/>
        </w:rPr>
        <w:t>万元的一次性奖励；对采购符合香洲区工业发展导向的工业设计服务的企业，按采购金额的</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％给予年度内最高</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万元补助。</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（四）扶持企业技术改造</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32.</w:t>
      </w:r>
      <w:r>
        <w:rPr>
          <w:rFonts w:ascii="微软雅黑" w:eastAsia="微软雅黑" w:hAnsi="微软雅黑" w:hint="eastAsia"/>
          <w:color w:val="333333"/>
          <w:sz w:val="19"/>
          <w:szCs w:val="19"/>
        </w:rPr>
        <w:t>对企业技改经济贡献进行奖励。对</w:t>
      </w:r>
      <w:r>
        <w:rPr>
          <w:rFonts w:ascii="微软雅黑" w:eastAsia="微软雅黑" w:hAnsi="微软雅黑" w:hint="eastAsia"/>
          <w:color w:val="333333"/>
          <w:sz w:val="19"/>
          <w:szCs w:val="19"/>
        </w:rPr>
        <w:t>2015</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2016</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2017</w:t>
      </w:r>
      <w:r>
        <w:rPr>
          <w:rFonts w:ascii="微软雅黑" w:eastAsia="微软雅黑" w:hAnsi="微软雅黑" w:hint="eastAsia"/>
          <w:color w:val="333333"/>
          <w:sz w:val="19"/>
          <w:szCs w:val="19"/>
        </w:rPr>
        <w:t>年实施了技术改造项目</w:t>
      </w:r>
      <w:r>
        <w:rPr>
          <w:rFonts w:ascii="微软雅黑" w:eastAsia="微软雅黑" w:hAnsi="微软雅黑" w:hint="eastAsia"/>
          <w:color w:val="333333"/>
          <w:sz w:val="19"/>
          <w:szCs w:val="19"/>
        </w:rPr>
        <w:lastRenderedPageBreak/>
        <w:t>并完工的企业，连续三年按照企业对财政贡献增量额度中省级留成部分的</w:t>
      </w:r>
      <w:r>
        <w:rPr>
          <w:rFonts w:ascii="微软雅黑" w:eastAsia="微软雅黑" w:hAnsi="微软雅黑" w:hint="eastAsia"/>
          <w:color w:val="333333"/>
          <w:sz w:val="19"/>
          <w:szCs w:val="19"/>
        </w:rPr>
        <w:t>60</w:t>
      </w:r>
      <w:r>
        <w:rPr>
          <w:rFonts w:ascii="微软雅黑" w:eastAsia="微软雅黑" w:hAnsi="微软雅黑" w:hint="eastAsia"/>
          <w:color w:val="333333"/>
          <w:sz w:val="19"/>
          <w:szCs w:val="19"/>
        </w:rPr>
        <w:t>％，市级留成部分的</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％，区级留成部分的</w:t>
      </w:r>
      <w:r>
        <w:rPr>
          <w:rFonts w:ascii="微软雅黑" w:eastAsia="微软雅黑" w:hAnsi="微软雅黑" w:hint="eastAsia"/>
          <w:color w:val="333333"/>
          <w:sz w:val="19"/>
          <w:szCs w:val="19"/>
        </w:rPr>
        <w:t>40</w:t>
      </w:r>
      <w:r>
        <w:rPr>
          <w:rFonts w:ascii="微软雅黑" w:eastAsia="微软雅黑" w:hAnsi="微软雅黑" w:hint="eastAsia"/>
          <w:color w:val="333333"/>
          <w:sz w:val="19"/>
          <w:szCs w:val="19"/>
        </w:rPr>
        <w:t>％连续三年给予财政奖补，</w:t>
      </w:r>
      <w:proofErr w:type="gramStart"/>
      <w:r>
        <w:rPr>
          <w:rFonts w:ascii="微软雅黑" w:eastAsia="微软雅黑" w:hAnsi="微软雅黑" w:hint="eastAsia"/>
          <w:color w:val="333333"/>
          <w:sz w:val="19"/>
          <w:szCs w:val="19"/>
        </w:rPr>
        <w:t>事后奖补资金</w:t>
      </w:r>
      <w:proofErr w:type="gramEnd"/>
      <w:r>
        <w:rPr>
          <w:rFonts w:ascii="微软雅黑" w:eastAsia="微软雅黑" w:hAnsi="微软雅黑" w:hint="eastAsia"/>
          <w:color w:val="333333"/>
          <w:sz w:val="19"/>
          <w:szCs w:val="19"/>
        </w:rPr>
        <w:t>由省市区财政分级安排，列入年度预算。</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33.</w:t>
      </w:r>
      <w:r>
        <w:rPr>
          <w:rFonts w:ascii="微软雅黑" w:eastAsia="微软雅黑" w:hAnsi="微软雅黑" w:hint="eastAsia"/>
          <w:color w:val="333333"/>
          <w:sz w:val="19"/>
          <w:szCs w:val="19"/>
        </w:rPr>
        <w:t>对购置生产性设备项目进行奖励</w:t>
      </w:r>
      <w:r>
        <w:rPr>
          <w:rFonts w:ascii="微软雅黑" w:eastAsia="微软雅黑" w:hAnsi="微软雅黑" w:hint="eastAsia"/>
          <w:color w:val="333333"/>
          <w:sz w:val="19"/>
          <w:szCs w:val="19"/>
        </w:rPr>
        <w:t>。额度根据企业年度设备投资占全区企业年度设备</w:t>
      </w:r>
      <w:r>
        <w:rPr>
          <w:rFonts w:ascii="微软雅黑" w:eastAsia="微软雅黑" w:hAnsi="微软雅黑" w:hint="eastAsia"/>
          <w:color w:val="333333"/>
          <w:sz w:val="19"/>
          <w:szCs w:val="19"/>
        </w:rPr>
        <w:lastRenderedPageBreak/>
        <w:t>投资总额比例确定，单个项目补贴金额最高不超过</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34.</w:t>
      </w:r>
      <w:r>
        <w:rPr>
          <w:rFonts w:ascii="微软雅黑" w:eastAsia="微软雅黑" w:hAnsi="微软雅黑" w:hint="eastAsia"/>
          <w:color w:val="333333"/>
          <w:sz w:val="19"/>
          <w:szCs w:val="19"/>
        </w:rPr>
        <w:t>对技改统计增量进行奖励。以</w:t>
      </w:r>
      <w:r>
        <w:rPr>
          <w:rFonts w:ascii="微软雅黑" w:eastAsia="微软雅黑" w:hAnsi="微软雅黑" w:hint="eastAsia"/>
          <w:color w:val="333333"/>
          <w:sz w:val="19"/>
          <w:szCs w:val="19"/>
        </w:rPr>
        <w:t>2015</w:t>
      </w:r>
      <w:r>
        <w:rPr>
          <w:rFonts w:ascii="微软雅黑" w:eastAsia="微软雅黑" w:hAnsi="微软雅黑" w:hint="eastAsia"/>
          <w:color w:val="333333"/>
          <w:sz w:val="19"/>
          <w:szCs w:val="19"/>
        </w:rPr>
        <w:t>年企业技改投资为基数，连续</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年按纳入统计增量部分的</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-1.5</w:t>
      </w:r>
      <w:r>
        <w:rPr>
          <w:rFonts w:ascii="微软雅黑" w:eastAsia="微软雅黑" w:hAnsi="微软雅黑" w:hint="eastAsia"/>
          <w:color w:val="333333"/>
          <w:sz w:val="19"/>
          <w:szCs w:val="19"/>
        </w:rPr>
        <w:t>‰进行奖励，单个企业最高奖励</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35.</w:t>
      </w:r>
      <w:r>
        <w:rPr>
          <w:rFonts w:ascii="微软雅黑" w:eastAsia="微软雅黑" w:hAnsi="微软雅黑" w:hint="eastAsia"/>
          <w:color w:val="333333"/>
          <w:sz w:val="19"/>
          <w:szCs w:val="19"/>
        </w:rPr>
        <w:t>鼓励企业实施“机器换人”。支持企业生产销售机器人。对香洲区内省级自主品牌工业机器人骨干企业，按其销售额</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％予以奖补，单个企业补贴额最高为</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万元。支持骨干企业开展“机器换人”。对购买机器人设备的企业，按设备购置</w:t>
      </w:r>
      <w:proofErr w:type="gramStart"/>
      <w:r>
        <w:rPr>
          <w:rFonts w:ascii="微软雅黑" w:eastAsia="微软雅黑" w:hAnsi="微软雅黑" w:hint="eastAsia"/>
          <w:color w:val="333333"/>
          <w:sz w:val="19"/>
          <w:szCs w:val="19"/>
        </w:rPr>
        <w:t>费给予</w:t>
      </w:r>
      <w:proofErr w:type="gramEnd"/>
      <w:r>
        <w:rPr>
          <w:rFonts w:ascii="微软雅黑" w:eastAsia="微软雅黑" w:hAnsi="微软雅黑" w:hint="eastAsia"/>
          <w:color w:val="333333"/>
          <w:sz w:val="19"/>
          <w:szCs w:val="19"/>
        </w:rPr>
        <w:t>不超过</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％的</w:t>
      </w:r>
      <w:r>
        <w:rPr>
          <w:rFonts w:ascii="微软雅黑" w:eastAsia="微软雅黑" w:hAnsi="微软雅黑" w:hint="eastAsia"/>
          <w:color w:val="333333"/>
          <w:sz w:val="19"/>
          <w:szCs w:val="19"/>
        </w:rPr>
        <w:lastRenderedPageBreak/>
        <w:t>奖补，单个企业补</w:t>
      </w:r>
      <w:r>
        <w:rPr>
          <w:rFonts w:ascii="微软雅黑" w:eastAsia="微软雅黑" w:hAnsi="微软雅黑" w:hint="eastAsia"/>
          <w:color w:val="333333"/>
          <w:sz w:val="19"/>
          <w:szCs w:val="19"/>
        </w:rPr>
        <w:t>贴额最高为</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万元，奖励年限为</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年。</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36.</w:t>
      </w:r>
      <w:r>
        <w:rPr>
          <w:rFonts w:ascii="微软雅黑" w:eastAsia="微软雅黑" w:hAnsi="微软雅黑" w:hint="eastAsia"/>
          <w:color w:val="333333"/>
          <w:sz w:val="19"/>
          <w:szCs w:val="19"/>
        </w:rPr>
        <w:t>加大技改项目股权支持力度。对经评估成长性好、产业带动性强的企业，经企业同意在</w:t>
      </w:r>
      <w:proofErr w:type="gramStart"/>
      <w:r>
        <w:rPr>
          <w:rFonts w:ascii="微软雅黑" w:eastAsia="微软雅黑" w:hAnsi="微软雅黑" w:hint="eastAsia"/>
          <w:color w:val="333333"/>
          <w:sz w:val="19"/>
          <w:szCs w:val="19"/>
        </w:rPr>
        <w:t>不</w:t>
      </w:r>
      <w:proofErr w:type="gramEnd"/>
      <w:r>
        <w:rPr>
          <w:rFonts w:ascii="微软雅黑" w:eastAsia="微软雅黑" w:hAnsi="微软雅黑" w:hint="eastAsia"/>
          <w:color w:val="333333"/>
          <w:sz w:val="19"/>
          <w:szCs w:val="19"/>
        </w:rPr>
        <w:t>控股的前提下，财政资金可通过股权投资方式参与技术改造，参股比例可协商。</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（五）促进民营经济发展壮大</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37.</w:t>
      </w:r>
      <w:r>
        <w:rPr>
          <w:rFonts w:ascii="微软雅黑" w:eastAsia="微软雅黑" w:hAnsi="微软雅黑" w:hint="eastAsia"/>
          <w:color w:val="333333"/>
          <w:sz w:val="19"/>
          <w:szCs w:val="19"/>
        </w:rPr>
        <w:t>支持中小企业与大企业协作配套。建立产业链协作配套服务工作机制，定期举办协作配套对接会，搭建交流合作平台，提高本地配套率。对企业全年采购无资产关联的区内民营企业产品或服务，金额首</w:t>
      </w:r>
      <w:r>
        <w:rPr>
          <w:rFonts w:ascii="微软雅黑" w:eastAsia="微软雅黑" w:hAnsi="微软雅黑" w:hint="eastAsia"/>
          <w:color w:val="333333"/>
          <w:sz w:val="19"/>
          <w:szCs w:val="19"/>
        </w:rPr>
        <w:lastRenderedPageBreak/>
        <w:t>次达</w:t>
      </w:r>
      <w:r>
        <w:rPr>
          <w:rFonts w:ascii="微软雅黑" w:eastAsia="微软雅黑" w:hAnsi="微软雅黑" w:hint="eastAsia"/>
          <w:color w:val="333333"/>
          <w:sz w:val="19"/>
          <w:szCs w:val="19"/>
        </w:rPr>
        <w:t>500</w:t>
      </w:r>
      <w:r>
        <w:rPr>
          <w:rFonts w:ascii="微软雅黑" w:eastAsia="微软雅黑" w:hAnsi="微软雅黑" w:hint="eastAsia"/>
          <w:color w:val="333333"/>
          <w:sz w:val="19"/>
          <w:szCs w:val="19"/>
        </w:rPr>
        <w:t>万元以上的，给予适当比例补助。</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38.</w:t>
      </w:r>
      <w:r>
        <w:rPr>
          <w:rFonts w:ascii="微软雅黑" w:eastAsia="微软雅黑" w:hAnsi="微软雅黑" w:hint="eastAsia"/>
          <w:color w:val="333333"/>
          <w:sz w:val="19"/>
          <w:szCs w:val="19"/>
        </w:rPr>
        <w:t>支持提升现代企业管理水平。深入实施</w:t>
      </w:r>
      <w:r>
        <w:rPr>
          <w:rFonts w:ascii="微软雅黑" w:eastAsia="微软雅黑" w:hAnsi="微软雅黑" w:hint="eastAsia"/>
          <w:color w:val="333333"/>
          <w:sz w:val="19"/>
          <w:szCs w:val="19"/>
        </w:rPr>
        <w:t>民营企业家素质提升工程，</w:t>
      </w:r>
      <w:proofErr w:type="gramStart"/>
      <w:r>
        <w:rPr>
          <w:rFonts w:ascii="微软雅黑" w:eastAsia="微软雅黑" w:hAnsi="微软雅黑" w:hint="eastAsia"/>
          <w:color w:val="333333"/>
          <w:sz w:val="19"/>
          <w:szCs w:val="19"/>
        </w:rPr>
        <w:t>每年区</w:t>
      </w:r>
      <w:proofErr w:type="gramEnd"/>
      <w:r>
        <w:rPr>
          <w:rFonts w:ascii="微软雅黑" w:eastAsia="微软雅黑" w:hAnsi="微软雅黑" w:hint="eastAsia"/>
          <w:color w:val="333333"/>
          <w:sz w:val="19"/>
          <w:szCs w:val="19"/>
        </w:rPr>
        <w:t>财政安排</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万元专项经费，用于组织民营骨干企业、新生代民营企业的高层管理者和专业技术人员开展培训学习。</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39.</w:t>
      </w:r>
      <w:r>
        <w:rPr>
          <w:rFonts w:ascii="微软雅黑" w:eastAsia="微软雅黑" w:hAnsi="微软雅黑" w:hint="eastAsia"/>
          <w:color w:val="333333"/>
          <w:sz w:val="19"/>
          <w:szCs w:val="19"/>
        </w:rPr>
        <w:t>向民营中小企业发放服务补贴</w:t>
      </w:r>
      <w:proofErr w:type="gramStart"/>
      <w:r>
        <w:rPr>
          <w:rFonts w:ascii="微软雅黑" w:eastAsia="微软雅黑" w:hAnsi="微软雅黑" w:hint="eastAsia"/>
          <w:color w:val="333333"/>
          <w:sz w:val="19"/>
          <w:szCs w:val="19"/>
        </w:rPr>
        <w:t>券</w:t>
      </w:r>
      <w:proofErr w:type="gramEnd"/>
      <w:r>
        <w:rPr>
          <w:rFonts w:ascii="微软雅黑" w:eastAsia="微软雅黑" w:hAnsi="微软雅黑" w:hint="eastAsia"/>
          <w:color w:val="333333"/>
          <w:sz w:val="19"/>
          <w:szCs w:val="19"/>
        </w:rPr>
        <w:t>。用于抵扣企业向经认定的市场服务机构购买知识产权、法律、财税代理等服务费用支出，规范民营企业生产经营行为。</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40.</w:t>
      </w:r>
      <w:r>
        <w:rPr>
          <w:rFonts w:ascii="微软雅黑" w:eastAsia="微软雅黑" w:hAnsi="微软雅黑" w:hint="eastAsia"/>
          <w:color w:val="333333"/>
          <w:sz w:val="19"/>
          <w:szCs w:val="19"/>
        </w:rPr>
        <w:t>提高民营企业产品竞争力。编制《珠海市香洲区战略性新兴产业重点产品推广指导</w:t>
      </w:r>
      <w:r>
        <w:rPr>
          <w:rFonts w:ascii="微软雅黑" w:eastAsia="微软雅黑" w:hAnsi="微软雅黑" w:hint="eastAsia"/>
          <w:color w:val="333333"/>
          <w:sz w:val="19"/>
          <w:szCs w:val="19"/>
        </w:rPr>
        <w:lastRenderedPageBreak/>
        <w:t>目录》，政府性投资和区国有企业投资的项目，同等条件下优先采购《目录》中的产品。每年举办一次重点民营企业产品展示和采购交易会，帮助企业提升产品市场</w:t>
      </w:r>
      <w:r>
        <w:rPr>
          <w:rFonts w:ascii="微软雅黑" w:eastAsia="微软雅黑" w:hAnsi="微软雅黑" w:hint="eastAsia"/>
          <w:color w:val="333333"/>
          <w:sz w:val="19"/>
          <w:szCs w:val="19"/>
        </w:rPr>
        <w:t>占有率和品牌影响力。</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41.</w:t>
      </w:r>
      <w:r>
        <w:rPr>
          <w:rFonts w:ascii="微软雅黑" w:eastAsia="微软雅黑" w:hAnsi="微软雅黑" w:hint="eastAsia"/>
          <w:color w:val="333333"/>
          <w:sz w:val="19"/>
          <w:szCs w:val="19"/>
        </w:rPr>
        <w:t>健全民营经济工作体制。建立区领导、各职能部门定期组织召开民营企业座谈会工作</w:t>
      </w:r>
      <w:r>
        <w:rPr>
          <w:rFonts w:ascii="微软雅黑" w:eastAsia="微软雅黑" w:hAnsi="微软雅黑" w:hint="eastAsia"/>
          <w:color w:val="333333"/>
          <w:sz w:val="19"/>
          <w:szCs w:val="19"/>
        </w:rPr>
        <w:lastRenderedPageBreak/>
        <w:t>机制，听取企业建议和意见，并适时出台或完善相关惠</w:t>
      </w:r>
      <w:proofErr w:type="gramStart"/>
      <w:r>
        <w:rPr>
          <w:rFonts w:ascii="微软雅黑" w:eastAsia="微软雅黑" w:hAnsi="微软雅黑" w:hint="eastAsia"/>
          <w:color w:val="333333"/>
          <w:sz w:val="19"/>
          <w:szCs w:val="19"/>
        </w:rPr>
        <w:t>企政策</w:t>
      </w:r>
      <w:proofErr w:type="gramEnd"/>
      <w:r>
        <w:rPr>
          <w:rFonts w:ascii="微软雅黑" w:eastAsia="微软雅黑" w:hAnsi="微软雅黑" w:hint="eastAsia"/>
          <w:color w:val="333333"/>
          <w:sz w:val="19"/>
          <w:szCs w:val="19"/>
        </w:rPr>
        <w:t>和措施。加强民营经济统计工作，统计部门及民营经济管理部门联动，健全统计工作，做到</w:t>
      </w:r>
      <w:proofErr w:type="gramStart"/>
      <w:r>
        <w:rPr>
          <w:rFonts w:ascii="微软雅黑" w:eastAsia="微软雅黑" w:hAnsi="微软雅黑" w:hint="eastAsia"/>
          <w:color w:val="333333"/>
          <w:sz w:val="19"/>
          <w:szCs w:val="19"/>
        </w:rPr>
        <w:t>应统尽统</w:t>
      </w:r>
      <w:proofErr w:type="gramEnd"/>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42.</w:t>
      </w:r>
      <w:r>
        <w:rPr>
          <w:rFonts w:ascii="微软雅黑" w:eastAsia="微软雅黑" w:hAnsi="微软雅黑" w:hint="eastAsia"/>
          <w:color w:val="333333"/>
          <w:sz w:val="19"/>
          <w:szCs w:val="19"/>
        </w:rPr>
        <w:t>充分发挥行业协会（商会）服务职能。加快政府职能转变，通过项目委托、购买服务等方式，逐步将行业管理、</w:t>
      </w:r>
      <w:r>
        <w:rPr>
          <w:rFonts w:ascii="微软雅黑" w:eastAsia="微软雅黑" w:hAnsi="微软雅黑" w:hint="eastAsia"/>
          <w:color w:val="333333"/>
          <w:sz w:val="19"/>
          <w:szCs w:val="19"/>
        </w:rPr>
        <w:lastRenderedPageBreak/>
        <w:t>协调性职能和技术服务性职能分离出去，转移给行业协会和社会组织承担。支持工商经济类社会组织强化服务职能，充分发挥其服务企业、强化自律、反映诉求、参与社</w:t>
      </w:r>
      <w:r>
        <w:rPr>
          <w:rFonts w:ascii="微软雅黑" w:eastAsia="微软雅黑" w:hAnsi="微软雅黑" w:hint="eastAsia"/>
          <w:color w:val="333333"/>
          <w:sz w:val="19"/>
          <w:szCs w:val="19"/>
        </w:rPr>
        <w:t>会管理的积极作用。</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（六）鼓励企业多层次、梯度式发展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43.</w:t>
      </w:r>
      <w:r>
        <w:rPr>
          <w:rFonts w:ascii="微软雅黑" w:eastAsia="微软雅黑" w:hAnsi="微软雅黑" w:hint="eastAsia"/>
          <w:color w:val="333333"/>
          <w:sz w:val="19"/>
          <w:szCs w:val="19"/>
        </w:rPr>
        <w:t>促进小</w:t>
      </w:r>
      <w:proofErr w:type="gramStart"/>
      <w:r>
        <w:rPr>
          <w:rFonts w:ascii="微软雅黑" w:eastAsia="微软雅黑" w:hAnsi="微软雅黑" w:hint="eastAsia"/>
          <w:color w:val="333333"/>
          <w:sz w:val="19"/>
          <w:szCs w:val="19"/>
        </w:rPr>
        <w:t>微企业</w:t>
      </w:r>
      <w:proofErr w:type="gramEnd"/>
      <w:r>
        <w:rPr>
          <w:rFonts w:ascii="微软雅黑" w:eastAsia="微软雅黑" w:hAnsi="微软雅黑" w:hint="eastAsia"/>
          <w:color w:val="333333"/>
          <w:sz w:val="19"/>
          <w:szCs w:val="19"/>
        </w:rPr>
        <w:t>上规模。对首次上规模的小</w:t>
      </w:r>
      <w:proofErr w:type="gramStart"/>
      <w:r>
        <w:rPr>
          <w:rFonts w:ascii="微软雅黑" w:eastAsia="微软雅黑" w:hAnsi="微软雅黑" w:hint="eastAsia"/>
          <w:color w:val="333333"/>
          <w:sz w:val="19"/>
          <w:szCs w:val="19"/>
        </w:rPr>
        <w:t>微工业</w:t>
      </w:r>
      <w:proofErr w:type="gramEnd"/>
      <w:r>
        <w:rPr>
          <w:rFonts w:ascii="微软雅黑" w:eastAsia="微软雅黑" w:hAnsi="微软雅黑" w:hint="eastAsia"/>
          <w:color w:val="333333"/>
          <w:sz w:val="19"/>
          <w:szCs w:val="19"/>
        </w:rPr>
        <w:t>企业，给予</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万元一次性奖励。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44.</w:t>
      </w:r>
      <w:r>
        <w:rPr>
          <w:rFonts w:ascii="微软雅黑" w:eastAsia="微软雅黑" w:hAnsi="微软雅黑" w:hint="eastAsia"/>
          <w:color w:val="333333"/>
          <w:sz w:val="19"/>
          <w:szCs w:val="19"/>
        </w:rPr>
        <w:t>支持</w:t>
      </w:r>
      <w:proofErr w:type="gramStart"/>
      <w:r>
        <w:rPr>
          <w:rFonts w:ascii="微软雅黑" w:eastAsia="微软雅黑" w:hAnsi="微软雅黑" w:hint="eastAsia"/>
          <w:color w:val="333333"/>
          <w:sz w:val="19"/>
          <w:szCs w:val="19"/>
        </w:rPr>
        <w:t>规</w:t>
      </w:r>
      <w:proofErr w:type="gramEnd"/>
      <w:r>
        <w:rPr>
          <w:rFonts w:ascii="微软雅黑" w:eastAsia="微软雅黑" w:hAnsi="微软雅黑" w:hint="eastAsia"/>
          <w:color w:val="333333"/>
          <w:sz w:val="19"/>
          <w:szCs w:val="19"/>
        </w:rPr>
        <w:t>上企业快速成长。对当年主营业务收入同比增长达</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300</w:t>
      </w:r>
      <w:r>
        <w:rPr>
          <w:rFonts w:ascii="微软雅黑" w:eastAsia="微软雅黑" w:hAnsi="微软雅黑" w:hint="eastAsia"/>
          <w:color w:val="333333"/>
          <w:sz w:val="19"/>
          <w:szCs w:val="19"/>
        </w:rPr>
        <w:t>％的高成长性工业企业，分别给予企业一次性</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万元不等的奖励。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45.</w:t>
      </w:r>
      <w:r>
        <w:rPr>
          <w:rFonts w:ascii="微软雅黑" w:eastAsia="微软雅黑" w:hAnsi="微软雅黑" w:hint="eastAsia"/>
          <w:color w:val="333333"/>
          <w:sz w:val="19"/>
          <w:szCs w:val="19"/>
        </w:rPr>
        <w:t>鼓励</w:t>
      </w:r>
      <w:proofErr w:type="gramStart"/>
      <w:r>
        <w:rPr>
          <w:rFonts w:ascii="微软雅黑" w:eastAsia="微软雅黑" w:hAnsi="微软雅黑" w:hint="eastAsia"/>
          <w:color w:val="333333"/>
          <w:sz w:val="19"/>
          <w:szCs w:val="19"/>
        </w:rPr>
        <w:t>规</w:t>
      </w:r>
      <w:proofErr w:type="gramEnd"/>
      <w:r>
        <w:rPr>
          <w:rFonts w:ascii="微软雅黑" w:eastAsia="微软雅黑" w:hAnsi="微软雅黑" w:hint="eastAsia"/>
          <w:color w:val="333333"/>
          <w:sz w:val="19"/>
          <w:szCs w:val="19"/>
        </w:rPr>
        <w:t>上企业上台阶。对主营业务收入首次超过</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亿元、</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亿元、</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亿元、</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亿元、</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亿元，一次性给予企业不超过</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80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300</w:t>
      </w:r>
      <w:r>
        <w:rPr>
          <w:rFonts w:ascii="微软雅黑" w:eastAsia="微软雅黑" w:hAnsi="微软雅黑" w:hint="eastAsia"/>
          <w:color w:val="333333"/>
          <w:sz w:val="19"/>
          <w:szCs w:val="19"/>
        </w:rPr>
        <w:t>万元的奖励，用于企业对高管、技术骨</w:t>
      </w:r>
      <w:r>
        <w:rPr>
          <w:rFonts w:ascii="微软雅黑" w:eastAsia="微软雅黑" w:hAnsi="微软雅黑" w:hint="eastAsia"/>
          <w:color w:val="333333"/>
          <w:sz w:val="19"/>
          <w:szCs w:val="19"/>
        </w:rPr>
        <w:t>干、创新人才等有突出贡献人员的个人奖励。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（七）鼓励淘汰落后产能和节能降耗</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46.</w:t>
      </w:r>
      <w:r>
        <w:rPr>
          <w:rFonts w:ascii="微软雅黑" w:eastAsia="微软雅黑" w:hAnsi="微软雅黑" w:hint="eastAsia"/>
          <w:color w:val="333333"/>
          <w:sz w:val="19"/>
          <w:szCs w:val="19"/>
        </w:rPr>
        <w:t>加快淘汰落后产能。</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）鼓励企业清洁生产。对开展自愿清洁生产审核并通过验收，获得市清洁生产称号的企业给予奖励</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万元，获得省清洁生产企业、粤港清洁生产伙伴标志的企业给予一次性</w:t>
      </w:r>
      <w:r>
        <w:rPr>
          <w:rFonts w:ascii="微软雅黑" w:eastAsia="微软雅黑" w:hAnsi="微软雅黑" w:hint="eastAsia"/>
          <w:color w:val="333333"/>
          <w:sz w:val="19"/>
          <w:szCs w:val="19"/>
        </w:rPr>
        <w:lastRenderedPageBreak/>
        <w:t>奖励</w:t>
      </w:r>
      <w:r>
        <w:rPr>
          <w:rFonts w:ascii="微软雅黑" w:eastAsia="微软雅黑" w:hAnsi="微软雅黑" w:hint="eastAsia"/>
          <w:color w:val="333333"/>
          <w:sz w:val="19"/>
          <w:szCs w:val="19"/>
        </w:rPr>
        <w:t>15</w:t>
      </w:r>
      <w:r>
        <w:rPr>
          <w:rFonts w:ascii="微软雅黑" w:eastAsia="微软雅黑" w:hAnsi="微软雅黑" w:hint="eastAsia"/>
          <w:color w:val="333333"/>
          <w:sz w:val="19"/>
          <w:szCs w:val="19"/>
        </w:rPr>
        <w:t>万元。对通过省清洁生产企业换证的企业给予奖励</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）鼓励实施循环经济。对单位产值能耗、物耗、产业废弃物综合利用率、工业用水重复利用率等指标达到国内领先水平或国际先进水平的示范单位或企业，给予</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万元一次性奖励。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47.</w:t>
      </w:r>
      <w:r>
        <w:rPr>
          <w:rFonts w:ascii="微软雅黑" w:eastAsia="微软雅黑" w:hAnsi="微软雅黑" w:hint="eastAsia"/>
          <w:color w:val="333333"/>
          <w:sz w:val="19"/>
          <w:szCs w:val="19"/>
        </w:rPr>
        <w:t>推动企业节能降耗。</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）支持节能降耗科技研发。申报香洲区节能降耗新产品、新技术、新工艺的研发项目，新能源、可再生能源、清洁能源的开发和利用项目，建筑节能科技创新研发应用项目，给予</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万元以内的研发经费补助。</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）鼓励企业提前淘汰落后电机。引导推广高效电机，对提前淘汰落后电机并安装使用高效电机的企业，按</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元</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千瓦的标准进行配套补助。对进行节能系统改造并取得较好节能效果的给予补助。</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）鼓励企业通过节能认证。获得国家级公共机构节</w:t>
      </w:r>
      <w:r>
        <w:rPr>
          <w:rFonts w:ascii="微软雅黑" w:eastAsia="微软雅黑" w:hAnsi="微软雅黑" w:hint="eastAsia"/>
          <w:color w:val="333333"/>
          <w:sz w:val="19"/>
          <w:szCs w:val="19"/>
        </w:rPr>
        <w:lastRenderedPageBreak/>
        <w:t>能示范单位称号的企业给予一次性奖励</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万元；通过</w:t>
      </w:r>
      <w:r>
        <w:rPr>
          <w:rFonts w:ascii="微软雅黑" w:eastAsia="微软雅黑" w:hAnsi="微软雅黑" w:hint="eastAsia"/>
          <w:color w:val="333333"/>
          <w:sz w:val="19"/>
          <w:szCs w:val="19"/>
        </w:rPr>
        <w:t>能源管理体系认证的企业，给予一次性奖励</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万元；通过能源管理中心建设验收，并</w:t>
      </w:r>
      <w:proofErr w:type="gramStart"/>
      <w:r>
        <w:rPr>
          <w:rFonts w:ascii="微软雅黑" w:eastAsia="微软雅黑" w:hAnsi="微软雅黑" w:hint="eastAsia"/>
          <w:color w:val="333333"/>
          <w:sz w:val="19"/>
          <w:szCs w:val="19"/>
        </w:rPr>
        <w:t>接入市</w:t>
      </w:r>
      <w:proofErr w:type="gramEnd"/>
      <w:r>
        <w:rPr>
          <w:rFonts w:ascii="微软雅黑" w:eastAsia="微软雅黑" w:hAnsi="微软雅黑" w:hint="eastAsia"/>
          <w:color w:val="333333"/>
          <w:sz w:val="19"/>
          <w:szCs w:val="19"/>
        </w:rPr>
        <w:t>能源管理中心系统的企业，给予一次性奖励</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（八）加快产业园区扩能增效</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48.</w:t>
      </w:r>
      <w:r>
        <w:rPr>
          <w:rFonts w:ascii="微软雅黑" w:eastAsia="微软雅黑" w:hAnsi="微软雅黑" w:hint="eastAsia"/>
          <w:color w:val="333333"/>
          <w:sz w:val="19"/>
          <w:szCs w:val="19"/>
        </w:rPr>
        <w:t>鼓励企业原址扩建。工业企业增资扩产，增加生产性建筑面积超出容积率</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部分按规定免收地价，建筑密度经规划部门批准可以超过</w:t>
      </w:r>
      <w:r>
        <w:rPr>
          <w:rFonts w:ascii="微软雅黑" w:eastAsia="微软雅黑" w:hAnsi="微软雅黑" w:hint="eastAsia"/>
          <w:color w:val="333333"/>
          <w:sz w:val="19"/>
          <w:szCs w:val="19"/>
        </w:rPr>
        <w:t>35</w:t>
      </w:r>
      <w:r>
        <w:rPr>
          <w:rFonts w:ascii="微软雅黑" w:eastAsia="微软雅黑" w:hAnsi="微软雅黑" w:hint="eastAsia"/>
          <w:color w:val="333333"/>
          <w:sz w:val="19"/>
          <w:szCs w:val="19"/>
        </w:rPr>
        <w:t>％。新建办公、公寓楼与厂房面积比例经批准可适当调整。利用旧厂房、旧生活设施升级改造及原用地范围内扩产新建厂房，按照新增建筑面积给予</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元</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lastRenderedPageBreak/>
        <w:t>平方米的补贴（单个项目最高不超过</w:t>
      </w:r>
      <w:r>
        <w:rPr>
          <w:rFonts w:ascii="微软雅黑" w:eastAsia="微软雅黑" w:hAnsi="微软雅黑" w:hint="eastAsia"/>
          <w:color w:val="333333"/>
          <w:sz w:val="19"/>
          <w:szCs w:val="19"/>
        </w:rPr>
        <w:t>150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49.</w:t>
      </w:r>
      <w:r>
        <w:rPr>
          <w:rFonts w:ascii="微软雅黑" w:eastAsia="微软雅黑" w:hAnsi="微软雅黑" w:hint="eastAsia"/>
          <w:color w:val="333333"/>
          <w:sz w:val="19"/>
          <w:szCs w:val="19"/>
        </w:rPr>
        <w:t>推动南</w:t>
      </w:r>
      <w:proofErr w:type="gramStart"/>
      <w:r>
        <w:rPr>
          <w:rFonts w:ascii="微软雅黑" w:eastAsia="微软雅黑" w:hAnsi="微软雅黑" w:hint="eastAsia"/>
          <w:color w:val="333333"/>
          <w:sz w:val="19"/>
          <w:szCs w:val="19"/>
        </w:rPr>
        <w:t>屏科技</w:t>
      </w:r>
      <w:proofErr w:type="gramEnd"/>
      <w:r>
        <w:rPr>
          <w:rFonts w:ascii="微软雅黑" w:eastAsia="微软雅黑" w:hAnsi="微软雅黑" w:hint="eastAsia"/>
          <w:color w:val="333333"/>
          <w:sz w:val="19"/>
          <w:szCs w:val="19"/>
        </w:rPr>
        <w:t>工业园向高端发展。加大财政投入，不断完善并提升园区基础设施配套和管理水平；严格限制园区内产业用地功能变更，将其打造成高端制造和创新基地；积极引导企业“腾笼换鸟”，淘</w:t>
      </w:r>
      <w:r>
        <w:rPr>
          <w:rFonts w:ascii="微软雅黑" w:eastAsia="微软雅黑" w:hAnsi="微软雅黑" w:hint="eastAsia"/>
          <w:color w:val="333333"/>
          <w:sz w:val="19"/>
          <w:szCs w:val="19"/>
        </w:rPr>
        <w:lastRenderedPageBreak/>
        <w:t>汰落后产能，引进优质项目，实现转型升级发展。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加快洪湾新型产业中心建设。推动洪湾商贸物流中心向新型产业中心转型，大力发展与生产密切相关的总部、研发、孵化、创意、无污染生产等创新型产业，在新型产业用地中可以配套不超过总建筑面积</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％的商业、餐饮、员工宿</w:t>
      </w:r>
      <w:r>
        <w:rPr>
          <w:rFonts w:ascii="微软雅黑" w:eastAsia="微软雅黑" w:hAnsi="微软雅黑" w:hint="eastAsia"/>
          <w:color w:val="333333"/>
          <w:sz w:val="19"/>
          <w:szCs w:val="19"/>
        </w:rPr>
        <w:lastRenderedPageBreak/>
        <w:t>舍等配套设施，上述配套设施在不超过总面积</w:t>
      </w:r>
      <w:r>
        <w:rPr>
          <w:rFonts w:ascii="微软雅黑" w:eastAsia="微软雅黑" w:hAnsi="微软雅黑" w:hint="eastAsia"/>
          <w:color w:val="333333"/>
          <w:sz w:val="19"/>
          <w:szCs w:val="19"/>
        </w:rPr>
        <w:t>15</w:t>
      </w:r>
      <w:r>
        <w:rPr>
          <w:rFonts w:ascii="微软雅黑" w:eastAsia="微软雅黑" w:hAnsi="微软雅黑" w:hint="eastAsia"/>
          <w:color w:val="333333"/>
          <w:sz w:val="19"/>
          <w:szCs w:val="19"/>
        </w:rPr>
        <w:t>％以内不另计收地价，超过部分按</w:t>
      </w:r>
      <w:r>
        <w:rPr>
          <w:rFonts w:ascii="微软雅黑" w:eastAsia="微软雅黑" w:hAnsi="微软雅黑" w:hint="eastAsia"/>
          <w:color w:val="333333"/>
          <w:sz w:val="19"/>
          <w:szCs w:val="19"/>
        </w:rPr>
        <w:t>建筑功能补缴地价。</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51.</w:t>
      </w:r>
      <w:r>
        <w:rPr>
          <w:rFonts w:ascii="微软雅黑" w:eastAsia="微软雅黑" w:hAnsi="微软雅黑" w:hint="eastAsia"/>
          <w:color w:val="333333"/>
          <w:sz w:val="19"/>
          <w:szCs w:val="19"/>
        </w:rPr>
        <w:t>推动前山商贸物流中心发展新业态。以“珠海市电子商务产业园”为依托，着力打造电商产业，鼓励企业在不改变用地主体规划条件的前提下，利用存量空间、土地资源发展</w:t>
      </w:r>
      <w:r>
        <w:rPr>
          <w:rFonts w:ascii="微软雅黑" w:eastAsia="微软雅黑" w:hAnsi="微软雅黑" w:hint="eastAsia"/>
          <w:color w:val="333333"/>
          <w:sz w:val="19"/>
          <w:szCs w:val="19"/>
        </w:rPr>
        <w:lastRenderedPageBreak/>
        <w:t>新能源、智能电网及总部经济等新型产业，创新商业模式，发展生产性服务业以及兴办</w:t>
      </w:r>
      <w:proofErr w:type="gramStart"/>
      <w:r>
        <w:rPr>
          <w:rFonts w:ascii="微软雅黑" w:eastAsia="微软雅黑" w:hAnsi="微软雅黑" w:hint="eastAsia"/>
          <w:color w:val="333333"/>
          <w:sz w:val="19"/>
          <w:szCs w:val="19"/>
        </w:rPr>
        <w:t>众创空间</w:t>
      </w:r>
      <w:proofErr w:type="gramEnd"/>
      <w:r>
        <w:rPr>
          <w:rFonts w:ascii="微软雅黑" w:eastAsia="微软雅黑" w:hAnsi="微软雅黑" w:hint="eastAsia"/>
          <w:color w:val="333333"/>
          <w:sz w:val="19"/>
          <w:szCs w:val="19"/>
        </w:rPr>
        <w:t>等，实行继续按原用途和土地权利类型使用土地的过渡期政策。</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52.</w:t>
      </w:r>
      <w:r>
        <w:rPr>
          <w:rFonts w:ascii="微软雅黑" w:eastAsia="微软雅黑" w:hAnsi="微软雅黑" w:hint="eastAsia"/>
          <w:color w:val="333333"/>
          <w:sz w:val="19"/>
          <w:szCs w:val="19"/>
        </w:rPr>
        <w:t>支持区属国有企业积极参与创业创新。对于区属国有企业参与工业园区改造升级、投资创新型科技企业、投资兴</w:t>
      </w:r>
      <w:r>
        <w:rPr>
          <w:rFonts w:ascii="微软雅黑" w:eastAsia="微软雅黑" w:hAnsi="微软雅黑" w:hint="eastAsia"/>
          <w:color w:val="333333"/>
          <w:sz w:val="19"/>
          <w:szCs w:val="19"/>
        </w:rPr>
        <w:lastRenderedPageBreak/>
        <w:t>建人才公寓和创新创业基地等，按照其投入成本给予适当补贴。完善国有企业经营业绩</w:t>
      </w:r>
      <w:r>
        <w:rPr>
          <w:rFonts w:ascii="微软雅黑" w:eastAsia="微软雅黑" w:hAnsi="微软雅黑" w:hint="eastAsia"/>
          <w:color w:val="333333"/>
          <w:sz w:val="19"/>
          <w:szCs w:val="19"/>
        </w:rPr>
        <w:t>考核办法，将购买产业用房、工业园区改造升级等费用，经认定后在经营业绩考核中视同于利润。</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（九）提升总部经济发展水平</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53.</w:t>
      </w:r>
      <w:r>
        <w:rPr>
          <w:rFonts w:ascii="微软雅黑" w:eastAsia="微软雅黑" w:hAnsi="微软雅黑" w:hint="eastAsia"/>
          <w:color w:val="333333"/>
          <w:sz w:val="19"/>
          <w:szCs w:val="19"/>
        </w:rPr>
        <w:t>加大总部企业扶持力度。对不占用香洲区土地资源，且对香洲区年度经济贡献达</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万元以上，或批发销售额统计在香</w:t>
      </w:r>
      <w:proofErr w:type="gramStart"/>
      <w:r>
        <w:rPr>
          <w:rFonts w:ascii="微软雅黑" w:eastAsia="微软雅黑" w:hAnsi="微软雅黑" w:hint="eastAsia"/>
          <w:color w:val="333333"/>
          <w:sz w:val="19"/>
          <w:szCs w:val="19"/>
        </w:rPr>
        <w:t>洲区超</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亿元</w:t>
      </w:r>
      <w:proofErr w:type="gramEnd"/>
      <w:r>
        <w:rPr>
          <w:rFonts w:ascii="微软雅黑" w:eastAsia="微软雅黑" w:hAnsi="微软雅黑" w:hint="eastAsia"/>
          <w:color w:val="333333"/>
          <w:sz w:val="19"/>
          <w:szCs w:val="19"/>
        </w:rPr>
        <w:t>及以上的总部企业，按其对香洲经济贡献的</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％给予奖励，其中不低于</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％用于奖励企业高管。</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（十）鼓励楼宇经济向高端发展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54.</w:t>
      </w:r>
      <w:r>
        <w:rPr>
          <w:rFonts w:ascii="微软雅黑" w:eastAsia="微软雅黑" w:hAnsi="微软雅黑" w:hint="eastAsia"/>
          <w:color w:val="333333"/>
          <w:sz w:val="19"/>
          <w:szCs w:val="19"/>
        </w:rPr>
        <w:t>鼓励业主单位衔接政府产业规划。引进总部企业、高新技术企业和高端服务业企业的办公面积达到楼宇可租售面积</w:t>
      </w:r>
      <w:r>
        <w:rPr>
          <w:rFonts w:ascii="微软雅黑" w:eastAsia="微软雅黑" w:hAnsi="微软雅黑" w:hint="eastAsia"/>
          <w:color w:val="333333"/>
          <w:sz w:val="19"/>
          <w:szCs w:val="19"/>
        </w:rPr>
        <w:t>80</w:t>
      </w:r>
      <w:r>
        <w:rPr>
          <w:rFonts w:ascii="微软雅黑" w:eastAsia="微软雅黑" w:hAnsi="微软雅黑" w:hint="eastAsia"/>
          <w:color w:val="333333"/>
          <w:sz w:val="19"/>
          <w:szCs w:val="19"/>
        </w:rPr>
        <w:t>％以上的商务楼宇，</w:t>
      </w:r>
      <w:r>
        <w:rPr>
          <w:rFonts w:ascii="微软雅黑" w:eastAsia="微软雅黑" w:hAnsi="微软雅黑" w:hint="eastAsia"/>
          <w:color w:val="333333"/>
          <w:sz w:val="19"/>
          <w:szCs w:val="19"/>
        </w:rPr>
        <w:t>对负责引进的业主单位高管给予最高</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万元的一次性奖励。对</w:t>
      </w:r>
      <w:r>
        <w:rPr>
          <w:rFonts w:ascii="微软雅黑" w:eastAsia="微软雅黑" w:hAnsi="微软雅黑" w:hint="eastAsia"/>
          <w:color w:val="333333"/>
          <w:sz w:val="19"/>
          <w:szCs w:val="19"/>
        </w:rPr>
        <w:lastRenderedPageBreak/>
        <w:t>新建且自用率</w:t>
      </w:r>
      <w:r>
        <w:rPr>
          <w:rFonts w:ascii="微软雅黑" w:eastAsia="微软雅黑" w:hAnsi="微软雅黑" w:hint="eastAsia"/>
          <w:color w:val="333333"/>
          <w:sz w:val="19"/>
          <w:szCs w:val="19"/>
        </w:rPr>
        <w:t>60</w:t>
      </w:r>
      <w:r>
        <w:rPr>
          <w:rFonts w:ascii="微软雅黑" w:eastAsia="微软雅黑" w:hAnsi="微软雅黑" w:hint="eastAsia"/>
          <w:color w:val="333333"/>
          <w:sz w:val="19"/>
          <w:szCs w:val="19"/>
        </w:rPr>
        <w:t>％以上的总部办公楼，给予最高</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万元的奖励。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55.</w:t>
      </w:r>
      <w:r>
        <w:rPr>
          <w:rFonts w:ascii="微软雅黑" w:eastAsia="微软雅黑" w:hAnsi="微软雅黑" w:hint="eastAsia"/>
          <w:color w:val="333333"/>
          <w:sz w:val="19"/>
          <w:szCs w:val="19"/>
        </w:rPr>
        <w:t>鼓励业主单位或物业管理单位发展“亿元楼”。对年度税收总额超亿元的楼宇，按照其对香洲区经济贡献的</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％对楼宇业主单位或物业管理单位进行奖励，最高不超过</w:t>
      </w:r>
      <w:r>
        <w:rPr>
          <w:rFonts w:ascii="微软雅黑" w:eastAsia="微软雅黑" w:hAnsi="微软雅黑" w:hint="eastAsia"/>
          <w:color w:val="333333"/>
          <w:sz w:val="19"/>
          <w:szCs w:val="19"/>
        </w:rPr>
        <w:t>500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56.</w:t>
      </w:r>
      <w:r>
        <w:rPr>
          <w:rFonts w:ascii="微软雅黑" w:eastAsia="微软雅黑" w:hAnsi="微软雅黑" w:hint="eastAsia"/>
          <w:color w:val="333333"/>
          <w:sz w:val="19"/>
          <w:szCs w:val="19"/>
        </w:rPr>
        <w:t>鼓励商务楼宇实施更新改造和功能提升。业主单位或物业服务企业对楼宇公共设施进行改造升级，用于解决楼宇公共停车难、就餐难等问题，以及开展定向招商和宣传推介活动的，政府给予相应资助。</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（十一）大力推进高端</w:t>
      </w:r>
      <w:r>
        <w:rPr>
          <w:rFonts w:ascii="微软雅黑" w:eastAsia="微软雅黑" w:hAnsi="微软雅黑" w:hint="eastAsia"/>
          <w:color w:val="333333"/>
          <w:sz w:val="19"/>
          <w:szCs w:val="19"/>
        </w:rPr>
        <w:t>服务业集聚发展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57.</w:t>
      </w:r>
      <w:r>
        <w:rPr>
          <w:rFonts w:ascii="微软雅黑" w:eastAsia="微软雅黑" w:hAnsi="微软雅黑" w:hint="eastAsia"/>
          <w:color w:val="333333"/>
          <w:sz w:val="19"/>
          <w:szCs w:val="19"/>
        </w:rPr>
        <w:t>支持企业发展电子商务。</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）支持电商龙头企业落户香洲。积极引进国内外电子商务龙头企业及其区域总部、营销中心、数据中心、结算中心、研发中心等高端项目，按照“一事一议”给予办公场地、开办经费、人才政策等重点扶</w:t>
      </w:r>
      <w:r>
        <w:rPr>
          <w:rFonts w:ascii="微软雅黑" w:eastAsia="微软雅黑" w:hAnsi="微软雅黑" w:hint="eastAsia"/>
          <w:color w:val="333333"/>
          <w:sz w:val="19"/>
          <w:szCs w:val="19"/>
        </w:rPr>
        <w:lastRenderedPageBreak/>
        <w:t>持，并按照项目形成对香洲的年度财力贡献，每年给予营运奖励。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）支持企业开拓电子商务销售渠道。通过电商平台进行销售的企业，按照其年度线上销售额每年给予一定比例的奖励，最高不超过</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）鼓励电子商务代理运营企业提供专业服务。对上年度帮助香洲区企业</w:t>
      </w:r>
      <w:proofErr w:type="gramStart"/>
      <w:r>
        <w:rPr>
          <w:rFonts w:ascii="微软雅黑" w:eastAsia="微软雅黑" w:hAnsi="微软雅黑" w:hint="eastAsia"/>
          <w:color w:val="333333"/>
          <w:sz w:val="19"/>
          <w:szCs w:val="19"/>
        </w:rPr>
        <w:t>实现</w:t>
      </w:r>
      <w:r>
        <w:rPr>
          <w:rFonts w:ascii="微软雅黑" w:eastAsia="微软雅黑" w:hAnsi="微软雅黑" w:hint="eastAsia"/>
          <w:color w:val="333333"/>
          <w:sz w:val="19"/>
          <w:szCs w:val="19"/>
        </w:rPr>
        <w:t>线</w:t>
      </w:r>
      <w:proofErr w:type="gramEnd"/>
      <w:r>
        <w:rPr>
          <w:rFonts w:ascii="微软雅黑" w:eastAsia="微软雅黑" w:hAnsi="微软雅黑" w:hint="eastAsia"/>
          <w:color w:val="333333"/>
          <w:sz w:val="19"/>
          <w:szCs w:val="19"/>
        </w:rPr>
        <w:t>上销售额累计超过</w:t>
      </w:r>
      <w:r>
        <w:rPr>
          <w:rFonts w:ascii="微软雅黑" w:eastAsia="微软雅黑" w:hAnsi="微软雅黑" w:hint="eastAsia"/>
          <w:color w:val="333333"/>
          <w:sz w:val="19"/>
          <w:szCs w:val="19"/>
        </w:rPr>
        <w:t>1000</w:t>
      </w:r>
      <w:r>
        <w:rPr>
          <w:rFonts w:ascii="微软雅黑" w:eastAsia="微软雅黑" w:hAnsi="微软雅黑" w:hint="eastAsia"/>
          <w:color w:val="333333"/>
          <w:sz w:val="19"/>
          <w:szCs w:val="19"/>
        </w:rPr>
        <w:t>万元的代理运营企业，给予</w:t>
      </w:r>
      <w:r>
        <w:rPr>
          <w:rFonts w:ascii="微软雅黑" w:eastAsia="微软雅黑" w:hAnsi="微软雅黑" w:hint="eastAsia"/>
          <w:color w:val="333333"/>
          <w:sz w:val="19"/>
          <w:szCs w:val="19"/>
        </w:rPr>
        <w:t>15</w:t>
      </w:r>
      <w:r>
        <w:rPr>
          <w:rFonts w:ascii="微软雅黑" w:eastAsia="微软雅黑" w:hAnsi="微软雅黑" w:hint="eastAsia"/>
          <w:color w:val="333333"/>
          <w:sz w:val="19"/>
          <w:szCs w:val="19"/>
        </w:rPr>
        <w:t>万元奖励。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58.</w:t>
      </w:r>
      <w:r>
        <w:rPr>
          <w:rFonts w:ascii="微软雅黑" w:eastAsia="微软雅黑" w:hAnsi="微软雅黑" w:hint="eastAsia"/>
          <w:color w:val="333333"/>
          <w:sz w:val="19"/>
          <w:szCs w:val="19"/>
        </w:rPr>
        <w:t>鼓励商贸流通企业上规模。对纳入我区统计的规模以上批发与零售企业，年销售额</w:t>
      </w:r>
      <w:r>
        <w:rPr>
          <w:rFonts w:ascii="微软雅黑" w:eastAsia="微软雅黑" w:hAnsi="微软雅黑" w:hint="eastAsia"/>
          <w:color w:val="333333"/>
          <w:sz w:val="19"/>
          <w:szCs w:val="19"/>
        </w:rPr>
        <w:lastRenderedPageBreak/>
        <w:t>在全区内排名</w:t>
      </w:r>
      <w:r>
        <w:rPr>
          <w:rFonts w:ascii="微软雅黑" w:eastAsia="微软雅黑" w:hAnsi="微软雅黑" w:hint="eastAsia"/>
          <w:color w:val="333333"/>
          <w:sz w:val="19"/>
          <w:szCs w:val="19"/>
        </w:rPr>
        <w:t>1-10</w:t>
      </w:r>
      <w:r>
        <w:rPr>
          <w:rFonts w:ascii="微软雅黑" w:eastAsia="微软雅黑" w:hAnsi="微软雅黑" w:hint="eastAsia"/>
          <w:color w:val="333333"/>
          <w:sz w:val="19"/>
          <w:szCs w:val="19"/>
        </w:rPr>
        <w:t>位和</w:t>
      </w:r>
      <w:r>
        <w:rPr>
          <w:rFonts w:ascii="微软雅黑" w:eastAsia="微软雅黑" w:hAnsi="微软雅黑" w:hint="eastAsia"/>
          <w:color w:val="333333"/>
          <w:sz w:val="19"/>
          <w:szCs w:val="19"/>
        </w:rPr>
        <w:t>11-20</w:t>
      </w:r>
      <w:r>
        <w:rPr>
          <w:rFonts w:ascii="微软雅黑" w:eastAsia="微软雅黑" w:hAnsi="微软雅黑" w:hint="eastAsia"/>
          <w:color w:val="333333"/>
          <w:sz w:val="19"/>
          <w:szCs w:val="19"/>
        </w:rPr>
        <w:t>位且销售额</w:t>
      </w:r>
      <w:proofErr w:type="gramStart"/>
      <w:r>
        <w:rPr>
          <w:rFonts w:ascii="微软雅黑" w:eastAsia="微软雅黑" w:hAnsi="微软雅黑" w:hint="eastAsia"/>
          <w:color w:val="333333"/>
          <w:sz w:val="19"/>
          <w:szCs w:val="19"/>
        </w:rPr>
        <w:t>同比正</w:t>
      </w:r>
      <w:proofErr w:type="gramEnd"/>
      <w:r>
        <w:rPr>
          <w:rFonts w:ascii="微软雅黑" w:eastAsia="微软雅黑" w:hAnsi="微软雅黑" w:hint="eastAsia"/>
          <w:color w:val="333333"/>
          <w:sz w:val="19"/>
          <w:szCs w:val="19"/>
        </w:rPr>
        <w:t>增长的，分别给予企业高管团队</w:t>
      </w:r>
      <w:r>
        <w:rPr>
          <w:rFonts w:ascii="微软雅黑" w:eastAsia="微软雅黑" w:hAnsi="微软雅黑" w:hint="eastAsia"/>
          <w:color w:val="333333"/>
          <w:sz w:val="19"/>
          <w:szCs w:val="19"/>
        </w:rPr>
        <w:t>15</w:t>
      </w:r>
      <w:r>
        <w:rPr>
          <w:rFonts w:ascii="微软雅黑" w:eastAsia="微软雅黑" w:hAnsi="微软雅黑" w:hint="eastAsia"/>
          <w:color w:val="333333"/>
          <w:sz w:val="19"/>
          <w:szCs w:val="19"/>
        </w:rPr>
        <w:t>万元与</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万元的奖励。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三、大力对接国际创新资源，不断深化对外开放力度</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（一）提高利用外资的质量和规模</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59.</w:t>
      </w:r>
      <w:r>
        <w:rPr>
          <w:rFonts w:ascii="微软雅黑" w:eastAsia="微软雅黑" w:hAnsi="微软雅黑" w:hint="eastAsia"/>
          <w:color w:val="333333"/>
          <w:sz w:val="19"/>
          <w:szCs w:val="19"/>
        </w:rPr>
        <w:t>加大对外招商引资力度。大力引进欧美日韩等发达国家高端产业、先进技术和优秀人才。强化与省、市驻外经贸代表处合作，给予相关招商活动经费支持。在北京、上海、深</w:t>
      </w:r>
      <w:r>
        <w:rPr>
          <w:rFonts w:ascii="微软雅黑" w:eastAsia="微软雅黑" w:hAnsi="微软雅黑" w:hint="eastAsia"/>
          <w:color w:val="333333"/>
          <w:sz w:val="19"/>
          <w:szCs w:val="19"/>
        </w:rPr>
        <w:t>圳、江浙地区设立驻点招商机构。完善招商代理，对成功引进优质项目的机构或个人，最高给予</w:t>
      </w:r>
      <w:r>
        <w:rPr>
          <w:rFonts w:ascii="微软雅黑" w:eastAsia="微软雅黑" w:hAnsi="微软雅黑" w:hint="eastAsia"/>
          <w:color w:val="333333"/>
          <w:sz w:val="19"/>
          <w:szCs w:val="19"/>
        </w:rPr>
        <w:t>300</w:t>
      </w:r>
      <w:r>
        <w:rPr>
          <w:rFonts w:ascii="微软雅黑" w:eastAsia="微软雅黑" w:hAnsi="微软雅黑" w:hint="eastAsia"/>
          <w:color w:val="333333"/>
          <w:sz w:val="19"/>
          <w:szCs w:val="19"/>
        </w:rPr>
        <w:t>万元的奖励。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（二）促进一般贸易有质量增长</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60.</w:t>
      </w:r>
      <w:r>
        <w:rPr>
          <w:rFonts w:ascii="微软雅黑" w:eastAsia="微软雅黑" w:hAnsi="微软雅黑" w:hint="eastAsia"/>
          <w:color w:val="333333"/>
          <w:sz w:val="19"/>
          <w:szCs w:val="19"/>
        </w:rPr>
        <w:t>支持企业扩大一般贸易出口规模。</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61.</w:t>
      </w:r>
      <w:r>
        <w:rPr>
          <w:rFonts w:ascii="微软雅黑" w:eastAsia="微软雅黑" w:hAnsi="微软雅黑" w:hint="eastAsia"/>
          <w:color w:val="333333"/>
          <w:sz w:val="19"/>
          <w:szCs w:val="19"/>
        </w:rPr>
        <w:t>支持企业投保进出口信用保险。大力支持企业降低贸易风险，给予企业当年保费实际支出额最高不超过</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％的资</w:t>
      </w:r>
      <w:r>
        <w:rPr>
          <w:rFonts w:ascii="微软雅黑" w:eastAsia="微软雅黑" w:hAnsi="微软雅黑" w:hint="eastAsia"/>
          <w:color w:val="333333"/>
          <w:sz w:val="19"/>
          <w:szCs w:val="19"/>
        </w:rPr>
        <w:lastRenderedPageBreak/>
        <w:t>助，单个企业资助额最高不超过</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62.</w:t>
      </w:r>
      <w:r>
        <w:rPr>
          <w:rFonts w:ascii="微软雅黑" w:eastAsia="微软雅黑" w:hAnsi="微软雅黑" w:hint="eastAsia"/>
          <w:color w:val="333333"/>
          <w:sz w:val="19"/>
          <w:szCs w:val="19"/>
        </w:rPr>
        <w:t>支持企业参展参会开拓市场。重点支持企业参加与香</w:t>
      </w:r>
      <w:proofErr w:type="gramStart"/>
      <w:r>
        <w:rPr>
          <w:rFonts w:ascii="微软雅黑" w:eastAsia="微软雅黑" w:hAnsi="微软雅黑" w:hint="eastAsia"/>
          <w:color w:val="333333"/>
          <w:sz w:val="19"/>
          <w:szCs w:val="19"/>
        </w:rPr>
        <w:t>洲产业</w:t>
      </w:r>
      <w:proofErr w:type="gramEnd"/>
      <w:r>
        <w:rPr>
          <w:rFonts w:ascii="微软雅黑" w:eastAsia="微软雅黑" w:hAnsi="微软雅黑" w:hint="eastAsia"/>
          <w:color w:val="333333"/>
          <w:sz w:val="19"/>
          <w:szCs w:val="19"/>
        </w:rPr>
        <w:t>关联度大的境内外展会。企业参加重点境外展会，给予每个企业最高</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万元的展运费补贴与最高</w:t>
      </w:r>
      <w:r>
        <w:rPr>
          <w:rFonts w:ascii="微软雅黑" w:eastAsia="微软雅黑" w:hAnsi="微软雅黑" w:hint="eastAsia"/>
          <w:color w:val="333333"/>
          <w:sz w:val="19"/>
          <w:szCs w:val="19"/>
        </w:rPr>
        <w:t>6</w:t>
      </w:r>
      <w:r>
        <w:rPr>
          <w:rFonts w:ascii="微软雅黑" w:eastAsia="微软雅黑" w:hAnsi="微软雅黑" w:hint="eastAsia"/>
          <w:color w:val="333333"/>
          <w:sz w:val="19"/>
          <w:szCs w:val="19"/>
        </w:rPr>
        <w:t>万元的交通食宿费用补贴。</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63.</w:t>
      </w:r>
      <w:r>
        <w:rPr>
          <w:rFonts w:ascii="微软雅黑" w:eastAsia="微软雅黑" w:hAnsi="微软雅黑" w:hint="eastAsia"/>
          <w:color w:val="333333"/>
          <w:sz w:val="19"/>
          <w:szCs w:val="19"/>
        </w:rPr>
        <w:t>支持重点跨境电子商务平台发展。针对重大跨境电子商务项目，可在场地安排、扶持资金、人才政策等方面采取“一事一议”的方式给予重点支持。</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64.</w:t>
      </w:r>
      <w:r>
        <w:rPr>
          <w:rFonts w:ascii="微软雅黑" w:eastAsia="微软雅黑" w:hAnsi="微软雅黑" w:hint="eastAsia"/>
          <w:color w:val="333333"/>
          <w:sz w:val="19"/>
          <w:szCs w:val="19"/>
        </w:rPr>
        <w:t>鼓励企业加大进口力度。企业以一般贸易方式自营进口列入《珠海市鼓励进口技术和</w:t>
      </w:r>
      <w:r>
        <w:rPr>
          <w:rFonts w:ascii="微软雅黑" w:eastAsia="微软雅黑" w:hAnsi="微软雅黑" w:hint="eastAsia"/>
          <w:color w:val="333333"/>
          <w:sz w:val="19"/>
          <w:szCs w:val="19"/>
        </w:rPr>
        <w:lastRenderedPageBreak/>
        <w:t>产品目录》中的生产设备、产品和技术，按核定进口额，最高给予每美元</w:t>
      </w:r>
      <w:r>
        <w:rPr>
          <w:rFonts w:ascii="微软雅黑" w:eastAsia="微软雅黑" w:hAnsi="微软雅黑" w:hint="eastAsia"/>
          <w:color w:val="333333"/>
          <w:sz w:val="19"/>
          <w:szCs w:val="19"/>
        </w:rPr>
        <w:t>0.05</w:t>
      </w:r>
      <w:r>
        <w:rPr>
          <w:rFonts w:ascii="微软雅黑" w:eastAsia="微软雅黑" w:hAnsi="微软雅黑" w:hint="eastAsia"/>
          <w:color w:val="333333"/>
          <w:sz w:val="19"/>
          <w:szCs w:val="19"/>
        </w:rPr>
        <w:t>元人民币的资助，每年每家企业最高不超过</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（三）巩固加工贸易发展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65.</w:t>
      </w:r>
      <w:r>
        <w:rPr>
          <w:rFonts w:ascii="微软雅黑" w:eastAsia="微软雅黑" w:hAnsi="微软雅黑" w:hint="eastAsia"/>
          <w:color w:val="333333"/>
          <w:sz w:val="19"/>
          <w:szCs w:val="19"/>
        </w:rPr>
        <w:t>继续加大加工贸易企业扶持力度。鼓励加工贸易企业转型升级，在香</w:t>
      </w:r>
      <w:proofErr w:type="gramStart"/>
      <w:r>
        <w:rPr>
          <w:rFonts w:ascii="微软雅黑" w:eastAsia="微软雅黑" w:hAnsi="微软雅黑" w:hint="eastAsia"/>
          <w:color w:val="333333"/>
          <w:sz w:val="19"/>
          <w:szCs w:val="19"/>
        </w:rPr>
        <w:t>洲设立</w:t>
      </w:r>
      <w:proofErr w:type="gramEnd"/>
      <w:r>
        <w:rPr>
          <w:rFonts w:ascii="微软雅黑" w:eastAsia="微软雅黑" w:hAnsi="微软雅黑" w:hint="eastAsia"/>
          <w:color w:val="333333"/>
          <w:sz w:val="19"/>
          <w:szCs w:val="19"/>
        </w:rPr>
        <w:t>区域总</w:t>
      </w:r>
      <w:r>
        <w:rPr>
          <w:rFonts w:ascii="微软雅黑" w:eastAsia="微软雅黑" w:hAnsi="微软雅黑" w:hint="eastAsia"/>
          <w:color w:val="333333"/>
          <w:sz w:val="19"/>
          <w:szCs w:val="19"/>
        </w:rPr>
        <w:lastRenderedPageBreak/>
        <w:t>部、结算中心、销售中心和研发中心，每年按照其新增香洲区财力贡献的</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％给予奖励。严格落实“三去一降一补”政策，进一步降低加工贸易企业生产成本。鼓励加工贸易企业申报高企，及时兑现研发投入、技术改造、高层次人才等各项扶持措施。继续大力引进国内外知名企业在香</w:t>
      </w:r>
      <w:proofErr w:type="gramStart"/>
      <w:r>
        <w:rPr>
          <w:rFonts w:ascii="微软雅黑" w:eastAsia="微软雅黑" w:hAnsi="微软雅黑" w:hint="eastAsia"/>
          <w:color w:val="333333"/>
          <w:sz w:val="19"/>
          <w:szCs w:val="19"/>
        </w:rPr>
        <w:t>洲开展</w:t>
      </w:r>
      <w:proofErr w:type="gramEnd"/>
      <w:r>
        <w:rPr>
          <w:rFonts w:ascii="微软雅黑" w:eastAsia="微软雅黑" w:hAnsi="微软雅黑" w:hint="eastAsia"/>
          <w:color w:val="333333"/>
          <w:sz w:val="19"/>
          <w:szCs w:val="19"/>
        </w:rPr>
        <w:t>加工贸</w:t>
      </w:r>
      <w:r>
        <w:rPr>
          <w:rFonts w:ascii="微软雅黑" w:eastAsia="微软雅黑" w:hAnsi="微软雅黑" w:hint="eastAsia"/>
          <w:color w:val="333333"/>
          <w:sz w:val="19"/>
          <w:szCs w:val="19"/>
        </w:rPr>
        <w:lastRenderedPageBreak/>
        <w:t>易业务，在土地安排等方面给予优先支持。</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（四）鼓励发展外贸综合服务平台</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66.</w:t>
      </w:r>
      <w:r>
        <w:rPr>
          <w:rFonts w:ascii="微软雅黑" w:eastAsia="微软雅黑" w:hAnsi="微软雅黑" w:hint="eastAsia"/>
          <w:color w:val="333333"/>
          <w:sz w:val="19"/>
          <w:szCs w:val="19"/>
        </w:rPr>
        <w:t>大力发展外贸综合服务平台。</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（五）推动服务贸易加快发展</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67.</w:t>
      </w:r>
      <w:r>
        <w:rPr>
          <w:rFonts w:ascii="微软雅黑" w:eastAsia="微软雅黑" w:hAnsi="微软雅黑" w:hint="eastAsia"/>
          <w:color w:val="333333"/>
          <w:sz w:val="19"/>
          <w:szCs w:val="19"/>
        </w:rPr>
        <w:t>支持企业发展</w:t>
      </w:r>
      <w:r>
        <w:rPr>
          <w:rFonts w:ascii="微软雅黑" w:eastAsia="微软雅黑" w:hAnsi="微软雅黑" w:hint="eastAsia"/>
          <w:color w:val="333333"/>
          <w:sz w:val="19"/>
          <w:szCs w:val="19"/>
        </w:rPr>
        <w:t>服务贸易。对经有关部门认定的离岸服务</w:t>
      </w:r>
      <w:proofErr w:type="gramStart"/>
      <w:r>
        <w:rPr>
          <w:rFonts w:ascii="微软雅黑" w:eastAsia="微软雅黑" w:hAnsi="微软雅黑" w:hint="eastAsia"/>
          <w:color w:val="333333"/>
          <w:sz w:val="19"/>
          <w:szCs w:val="19"/>
        </w:rPr>
        <w:t>贸易外贸</w:t>
      </w:r>
      <w:proofErr w:type="gramEnd"/>
      <w:r>
        <w:rPr>
          <w:rFonts w:ascii="微软雅黑" w:eastAsia="微软雅黑" w:hAnsi="微软雅黑" w:hint="eastAsia"/>
          <w:color w:val="333333"/>
          <w:sz w:val="19"/>
          <w:szCs w:val="19"/>
        </w:rPr>
        <w:t>示范企业，给予</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万元人民币的奖励。上一年度服务外包业务收入，每增加</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万美元，给予</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万元人民币的业绩奖励，业绩奖励总额最高不超过</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万元人民币。</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（六）支持企业“走出去”</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68.</w:t>
      </w:r>
      <w:r>
        <w:rPr>
          <w:rFonts w:ascii="微软雅黑" w:eastAsia="微软雅黑" w:hAnsi="微软雅黑" w:hint="eastAsia"/>
          <w:color w:val="333333"/>
          <w:sz w:val="19"/>
          <w:szCs w:val="19"/>
        </w:rPr>
        <w:t>鼓励企业参与国际合作。对新设境外投资</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万美元以上的项目，给予最高</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万元的一次性资助；支持企业对外承包工程项目，营业额</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万美元以上的企业给予最高</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万元人民币的一次性资助；支</w:t>
      </w:r>
      <w:r>
        <w:rPr>
          <w:rFonts w:ascii="微软雅黑" w:eastAsia="微软雅黑" w:hAnsi="微软雅黑" w:hint="eastAsia"/>
          <w:color w:val="333333"/>
          <w:sz w:val="19"/>
          <w:szCs w:val="19"/>
        </w:rPr>
        <w:lastRenderedPageBreak/>
        <w:t>持企业开展对外劳务合作，按照当年年末共输出珠海户籍的劳务人员人数给予资助，每个企业最高不超过</w:t>
      </w:r>
      <w:r>
        <w:rPr>
          <w:rFonts w:ascii="微软雅黑" w:eastAsia="微软雅黑" w:hAnsi="微软雅黑" w:hint="eastAsia"/>
          <w:color w:val="333333"/>
          <w:sz w:val="19"/>
          <w:szCs w:val="19"/>
        </w:rPr>
        <w:t>30</w:t>
      </w:r>
      <w:r>
        <w:rPr>
          <w:rFonts w:ascii="微软雅黑" w:eastAsia="微软雅黑" w:hAnsi="微软雅黑" w:hint="eastAsia"/>
          <w:color w:val="333333"/>
          <w:sz w:val="19"/>
          <w:szCs w:val="19"/>
        </w:rPr>
        <w:t>万元人民币。</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四、大力引进培育创新人才，推动各类人才集聚香洲</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（一）引进培育创新团队和高端人才</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69.</w:t>
      </w:r>
      <w:r>
        <w:rPr>
          <w:rFonts w:ascii="微软雅黑" w:eastAsia="微软雅黑" w:hAnsi="微软雅黑" w:hint="eastAsia"/>
          <w:color w:val="333333"/>
          <w:sz w:val="19"/>
          <w:szCs w:val="19"/>
        </w:rPr>
        <w:t>大力扶持海内外高层次人才团队项目。经广东省评审的海内外高层次人才团队项目，在</w:t>
      </w:r>
      <w:proofErr w:type="gramStart"/>
      <w:r>
        <w:rPr>
          <w:rFonts w:ascii="微软雅黑" w:eastAsia="微软雅黑" w:hAnsi="微软雅黑" w:hint="eastAsia"/>
          <w:color w:val="333333"/>
          <w:sz w:val="19"/>
          <w:szCs w:val="19"/>
        </w:rPr>
        <w:t>省最高</w:t>
      </w:r>
      <w:proofErr w:type="gramEnd"/>
      <w:r>
        <w:rPr>
          <w:rFonts w:ascii="微软雅黑" w:eastAsia="微软雅黑" w:hAnsi="微软雅黑" w:hint="eastAsia"/>
          <w:color w:val="333333"/>
          <w:sz w:val="19"/>
          <w:szCs w:val="19"/>
        </w:rPr>
        <w:t>奖励</w:t>
      </w:r>
      <w:r>
        <w:rPr>
          <w:rFonts w:ascii="微软雅黑" w:eastAsia="微软雅黑" w:hAnsi="微软雅黑" w:hint="eastAsia"/>
          <w:color w:val="333333"/>
          <w:sz w:val="19"/>
          <w:szCs w:val="19"/>
        </w:rPr>
        <w:t>8000</w:t>
      </w:r>
      <w:r>
        <w:rPr>
          <w:rFonts w:ascii="微软雅黑" w:eastAsia="微软雅黑" w:hAnsi="微软雅黑" w:hint="eastAsia"/>
          <w:color w:val="333333"/>
          <w:sz w:val="19"/>
          <w:szCs w:val="19"/>
        </w:rPr>
        <w:t>万元、市最高奖励</w:t>
      </w:r>
      <w:r>
        <w:rPr>
          <w:rFonts w:ascii="微软雅黑" w:eastAsia="微软雅黑" w:hAnsi="微软雅黑" w:hint="eastAsia"/>
          <w:color w:val="333333"/>
          <w:sz w:val="19"/>
          <w:szCs w:val="19"/>
        </w:rPr>
        <w:t>4000</w:t>
      </w:r>
      <w:r>
        <w:rPr>
          <w:rFonts w:ascii="微软雅黑" w:eastAsia="微软雅黑" w:hAnsi="微软雅黑" w:hint="eastAsia"/>
          <w:color w:val="333333"/>
          <w:sz w:val="19"/>
          <w:szCs w:val="19"/>
        </w:rPr>
        <w:t>万元的基础上，给予最高</w:t>
      </w:r>
      <w:r>
        <w:rPr>
          <w:rFonts w:ascii="微软雅黑" w:eastAsia="微软雅黑" w:hAnsi="微软雅黑" w:hint="eastAsia"/>
          <w:color w:val="333333"/>
          <w:sz w:val="19"/>
          <w:szCs w:val="19"/>
        </w:rPr>
        <w:t>500</w:t>
      </w:r>
      <w:r>
        <w:rPr>
          <w:rFonts w:ascii="微软雅黑" w:eastAsia="微软雅黑" w:hAnsi="微软雅黑" w:hint="eastAsia"/>
          <w:color w:val="333333"/>
          <w:sz w:val="19"/>
          <w:szCs w:val="19"/>
        </w:rPr>
        <w:t>万元配套资助。对成长性</w:t>
      </w:r>
      <w:proofErr w:type="gramStart"/>
      <w:r>
        <w:rPr>
          <w:rFonts w:ascii="微软雅黑" w:eastAsia="微软雅黑" w:hAnsi="微软雅黑" w:hint="eastAsia"/>
          <w:color w:val="333333"/>
          <w:sz w:val="19"/>
          <w:szCs w:val="19"/>
        </w:rPr>
        <w:t>好</w:t>
      </w:r>
      <w:proofErr w:type="gramEnd"/>
      <w:r>
        <w:rPr>
          <w:rFonts w:ascii="微软雅黑" w:eastAsia="微软雅黑" w:hAnsi="微软雅黑" w:hint="eastAsia"/>
          <w:color w:val="333333"/>
          <w:sz w:val="19"/>
          <w:szCs w:val="19"/>
        </w:rPr>
        <w:t>和业绩突出的团队项目，根据实际需求予以滚动支持或追加资助，资助额度采取“一事一议”方式确定。</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70.</w:t>
      </w:r>
      <w:r>
        <w:rPr>
          <w:rFonts w:ascii="微软雅黑" w:eastAsia="微软雅黑" w:hAnsi="微软雅黑" w:hint="eastAsia"/>
          <w:color w:val="333333"/>
          <w:sz w:val="19"/>
          <w:szCs w:val="19"/>
        </w:rPr>
        <w:t>加大高端人才引进培育配套奖励。在国家、省、市奖励的基础上，出台香洲区高端人才配套奖励办法。对引进培育的“两院”院士，</w:t>
      </w:r>
      <w:r>
        <w:rPr>
          <w:rFonts w:ascii="微软雅黑" w:eastAsia="微软雅黑" w:hAnsi="微软雅黑" w:hint="eastAsia"/>
          <w:color w:val="333333"/>
          <w:sz w:val="19"/>
          <w:szCs w:val="19"/>
        </w:rPr>
        <w:t>给予其最高</w:t>
      </w:r>
      <w:r>
        <w:rPr>
          <w:rFonts w:ascii="微软雅黑" w:eastAsia="微软雅黑" w:hAnsi="微软雅黑" w:hint="eastAsia"/>
          <w:color w:val="333333"/>
          <w:sz w:val="19"/>
          <w:szCs w:val="19"/>
        </w:rPr>
        <w:t>200</w:t>
      </w:r>
      <w:r>
        <w:rPr>
          <w:rFonts w:ascii="微软雅黑" w:eastAsia="微软雅黑" w:hAnsi="微软雅黑" w:hint="eastAsia"/>
          <w:color w:val="333333"/>
          <w:sz w:val="19"/>
          <w:szCs w:val="19"/>
        </w:rPr>
        <w:t>万元的配套奖励；国家“千人计划”专家给予其最高</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万元的配套奖励；“万人计划”人才给予其最高</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万元的配套奖励；省领军人才给</w:t>
      </w:r>
      <w:r>
        <w:rPr>
          <w:rFonts w:ascii="微软雅黑" w:eastAsia="微软雅黑" w:hAnsi="微软雅黑" w:hint="eastAsia"/>
          <w:color w:val="333333"/>
          <w:sz w:val="19"/>
          <w:szCs w:val="19"/>
        </w:rPr>
        <w:lastRenderedPageBreak/>
        <w:t>予其最高</w:t>
      </w:r>
      <w:r>
        <w:rPr>
          <w:rFonts w:ascii="微软雅黑" w:eastAsia="微软雅黑" w:hAnsi="微软雅黑" w:hint="eastAsia"/>
          <w:color w:val="333333"/>
          <w:sz w:val="19"/>
          <w:szCs w:val="19"/>
        </w:rPr>
        <w:t>300</w:t>
      </w:r>
      <w:r>
        <w:rPr>
          <w:rFonts w:ascii="微软雅黑" w:eastAsia="微软雅黑" w:hAnsi="微软雅黑" w:hint="eastAsia"/>
          <w:color w:val="333333"/>
          <w:sz w:val="19"/>
          <w:szCs w:val="19"/>
        </w:rPr>
        <w:t>万元的配套奖励。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71.</w:t>
      </w:r>
      <w:r>
        <w:rPr>
          <w:rFonts w:ascii="微软雅黑" w:eastAsia="微软雅黑" w:hAnsi="微软雅黑" w:hint="eastAsia"/>
          <w:color w:val="333333"/>
          <w:sz w:val="19"/>
          <w:szCs w:val="19"/>
        </w:rPr>
        <w:t>大力扶持高端人才创新创业。对评审认定的市高层次人才、区高端产业人才、留学归国人员，给予最高</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万元的工作津贴，并根据创业实际，给予创业前期费用、场地租金补贴等配套扶持，最高可达</w:t>
      </w:r>
      <w:r>
        <w:rPr>
          <w:rFonts w:ascii="微软雅黑" w:eastAsia="微软雅黑" w:hAnsi="微软雅黑" w:hint="eastAsia"/>
          <w:color w:val="333333"/>
          <w:sz w:val="19"/>
          <w:szCs w:val="19"/>
        </w:rPr>
        <w:t>240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72</w:t>
      </w:r>
      <w:r>
        <w:rPr>
          <w:rFonts w:ascii="微软雅黑" w:eastAsia="微软雅黑" w:hAnsi="微软雅黑" w:hint="eastAsia"/>
          <w:color w:val="333333"/>
          <w:sz w:val="19"/>
          <w:szCs w:val="19"/>
        </w:rPr>
        <w:t>．激励青年优秀人才和技能型人才成长。每年认定</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名青年优秀人才、</w:t>
      </w:r>
      <w:r>
        <w:rPr>
          <w:rFonts w:ascii="微软雅黑" w:eastAsia="微软雅黑" w:hAnsi="微软雅黑" w:hint="eastAsia"/>
          <w:color w:val="333333"/>
          <w:sz w:val="19"/>
          <w:szCs w:val="19"/>
        </w:rPr>
        <w:t>100</w:t>
      </w:r>
      <w:r>
        <w:rPr>
          <w:rFonts w:ascii="微软雅黑" w:eastAsia="微软雅黑" w:hAnsi="微软雅黑" w:hint="eastAsia"/>
          <w:color w:val="333333"/>
          <w:sz w:val="19"/>
          <w:szCs w:val="19"/>
        </w:rPr>
        <w:t>名技能型人才，由企业根据其产出规模、科技创新水平等因素</w:t>
      </w:r>
      <w:r>
        <w:rPr>
          <w:rFonts w:ascii="微软雅黑" w:eastAsia="微软雅黑" w:hAnsi="微软雅黑" w:hint="eastAsia"/>
          <w:color w:val="333333"/>
          <w:sz w:val="19"/>
          <w:szCs w:val="19"/>
        </w:rPr>
        <w:t>进行自主推荐，给予每人每年</w:t>
      </w:r>
      <w:r>
        <w:rPr>
          <w:rFonts w:ascii="微软雅黑" w:eastAsia="微软雅黑" w:hAnsi="微软雅黑" w:hint="eastAsia"/>
          <w:color w:val="333333"/>
          <w:sz w:val="19"/>
          <w:szCs w:val="19"/>
        </w:rPr>
        <w:t>1.5</w:t>
      </w:r>
      <w:r>
        <w:rPr>
          <w:rFonts w:ascii="微软雅黑" w:eastAsia="微软雅黑" w:hAnsi="微软雅黑" w:hint="eastAsia"/>
          <w:color w:val="333333"/>
          <w:sz w:val="19"/>
          <w:szCs w:val="19"/>
        </w:rPr>
        <w:t>万元和</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万元工作津贴，发放期限分别为</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年和</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年。</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w:t>
      </w:r>
      <w:r>
        <w:rPr>
          <w:rFonts w:ascii="微软雅黑" w:eastAsia="微软雅黑" w:hAnsi="微软雅黑" w:hint="eastAsia"/>
          <w:color w:val="333333"/>
          <w:sz w:val="19"/>
          <w:szCs w:val="19"/>
        </w:rPr>
        <w:t>73</w:t>
      </w:r>
      <w:r>
        <w:rPr>
          <w:rFonts w:ascii="微软雅黑" w:eastAsia="微软雅黑" w:hAnsi="微软雅黑" w:hint="eastAsia"/>
          <w:color w:val="333333"/>
          <w:sz w:val="19"/>
          <w:szCs w:val="19"/>
        </w:rPr>
        <w:t>．实施重点企业高管与技术研发骨干奖励计划。对于纳入珠海市现代产业体系且对香</w:t>
      </w:r>
      <w:proofErr w:type="gramStart"/>
      <w:r>
        <w:rPr>
          <w:rFonts w:ascii="微软雅黑" w:eastAsia="微软雅黑" w:hAnsi="微软雅黑" w:hint="eastAsia"/>
          <w:color w:val="333333"/>
          <w:sz w:val="19"/>
          <w:szCs w:val="19"/>
        </w:rPr>
        <w:t>洲产业</w:t>
      </w:r>
      <w:proofErr w:type="gramEnd"/>
      <w:r>
        <w:rPr>
          <w:rFonts w:ascii="微软雅黑" w:eastAsia="微软雅黑" w:hAnsi="微软雅黑" w:hint="eastAsia"/>
          <w:color w:val="333333"/>
          <w:sz w:val="19"/>
          <w:szCs w:val="19"/>
        </w:rPr>
        <w:t>发展与自主创新方面</w:t>
      </w:r>
      <w:proofErr w:type="gramStart"/>
      <w:r>
        <w:rPr>
          <w:rFonts w:ascii="微软雅黑" w:eastAsia="微软雅黑" w:hAnsi="微软雅黑" w:hint="eastAsia"/>
          <w:color w:val="333333"/>
          <w:sz w:val="19"/>
          <w:szCs w:val="19"/>
        </w:rPr>
        <w:t>作出</w:t>
      </w:r>
      <w:proofErr w:type="gramEnd"/>
      <w:r>
        <w:rPr>
          <w:rFonts w:ascii="微软雅黑" w:eastAsia="微软雅黑" w:hAnsi="微软雅黑" w:hint="eastAsia"/>
          <w:color w:val="333333"/>
          <w:sz w:val="19"/>
          <w:szCs w:val="19"/>
        </w:rPr>
        <w:t>贡献的企业中，对工资薪金年收入超过</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万元的高管和技术研发骨干进行创新贡献奖励，最高可达</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（二）促进企业科研人才成长</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74</w:t>
      </w:r>
      <w:r>
        <w:rPr>
          <w:rFonts w:ascii="微软雅黑" w:eastAsia="微软雅黑" w:hAnsi="微软雅黑" w:hint="eastAsia"/>
          <w:color w:val="333333"/>
          <w:sz w:val="19"/>
          <w:szCs w:val="19"/>
        </w:rPr>
        <w:t>．支持企业引进和培养技术带头人。对国家、省重点实验室，国家、省、市级工程技术研究中心和技术中心等新型研发机构、公共技术平台的技术带头人（首席科学家），</w:t>
      </w:r>
      <w:r>
        <w:rPr>
          <w:rFonts w:ascii="微软雅黑" w:eastAsia="微软雅黑" w:hAnsi="微软雅黑" w:hint="eastAsia"/>
          <w:color w:val="333333"/>
          <w:sz w:val="19"/>
          <w:szCs w:val="19"/>
        </w:rPr>
        <w:lastRenderedPageBreak/>
        <w:t>连续三年给予每人每年</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万</w:t>
      </w:r>
      <w:r>
        <w:rPr>
          <w:rFonts w:ascii="微软雅黑" w:eastAsia="微软雅黑" w:hAnsi="微软雅黑" w:hint="eastAsia"/>
          <w:color w:val="333333"/>
          <w:sz w:val="19"/>
          <w:szCs w:val="19"/>
        </w:rPr>
        <w:t>元、</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万元的工作津贴。</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75</w:t>
      </w:r>
      <w:r>
        <w:rPr>
          <w:rFonts w:ascii="微软雅黑" w:eastAsia="微软雅黑" w:hAnsi="微软雅黑" w:hint="eastAsia"/>
          <w:color w:val="333333"/>
          <w:sz w:val="19"/>
          <w:szCs w:val="19"/>
        </w:rPr>
        <w:t>．鼓励企业设立博士后工作站。对新设立博士后工作站、博士后创新实践基地的企业分别资助</w:t>
      </w:r>
      <w:r>
        <w:rPr>
          <w:rFonts w:ascii="微软雅黑" w:eastAsia="微软雅黑" w:hAnsi="微软雅黑" w:hint="eastAsia"/>
          <w:color w:val="333333"/>
          <w:sz w:val="19"/>
          <w:szCs w:val="19"/>
        </w:rPr>
        <w:t>20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万元科研经费。支持企业招收培养博士后，给予在站博士后</w:t>
      </w:r>
      <w:r>
        <w:rPr>
          <w:rFonts w:ascii="微软雅黑" w:eastAsia="微软雅黑" w:hAnsi="微软雅黑" w:hint="eastAsia"/>
          <w:color w:val="333333"/>
          <w:sz w:val="19"/>
          <w:szCs w:val="19"/>
        </w:rPr>
        <w:t>2</w:t>
      </w:r>
      <w:r>
        <w:rPr>
          <w:rFonts w:ascii="微软雅黑" w:eastAsia="微软雅黑" w:hAnsi="微软雅黑" w:hint="eastAsia"/>
          <w:color w:val="333333"/>
          <w:sz w:val="19"/>
          <w:szCs w:val="19"/>
        </w:rPr>
        <w:t>万元工作津贴。出站后落户香洲的，再给予一次性</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万元的生</w:t>
      </w:r>
      <w:r>
        <w:rPr>
          <w:rFonts w:ascii="微软雅黑" w:eastAsia="微软雅黑" w:hAnsi="微软雅黑" w:hint="eastAsia"/>
          <w:color w:val="333333"/>
          <w:sz w:val="19"/>
          <w:szCs w:val="19"/>
        </w:rPr>
        <w:lastRenderedPageBreak/>
        <w:t>活补助；给予博士后工作站、创新实践基地的负责人及企业指导老师</w:t>
      </w:r>
      <w:r>
        <w:rPr>
          <w:rFonts w:ascii="微软雅黑" w:eastAsia="微软雅黑" w:hAnsi="微软雅黑" w:hint="eastAsia"/>
          <w:color w:val="333333"/>
          <w:sz w:val="19"/>
          <w:szCs w:val="19"/>
        </w:rPr>
        <w:t>3</w:t>
      </w:r>
      <w:r>
        <w:rPr>
          <w:rFonts w:ascii="微软雅黑" w:eastAsia="微软雅黑" w:hAnsi="微软雅黑" w:hint="eastAsia"/>
          <w:color w:val="333333"/>
          <w:sz w:val="19"/>
          <w:szCs w:val="19"/>
        </w:rPr>
        <w:t>万元的工作津贴。</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76</w:t>
      </w:r>
      <w:r>
        <w:rPr>
          <w:rFonts w:ascii="微软雅黑" w:eastAsia="微软雅黑" w:hAnsi="微软雅黑" w:hint="eastAsia"/>
          <w:color w:val="333333"/>
          <w:sz w:val="19"/>
          <w:szCs w:val="19"/>
        </w:rPr>
        <w:t>．鼓励校企产学研合作。鼓励香洲区重点企业与高校、科研院所合作共建产学研合作基地。高校、科研院所及其人员将其科研成果或技术成功转让至香洲区企业的，按成交金</w:t>
      </w:r>
      <w:r>
        <w:rPr>
          <w:rFonts w:ascii="微软雅黑" w:eastAsia="微软雅黑" w:hAnsi="微软雅黑" w:hint="eastAsia"/>
          <w:color w:val="333333"/>
          <w:sz w:val="19"/>
          <w:szCs w:val="19"/>
        </w:rPr>
        <w:lastRenderedPageBreak/>
        <w:t>额的</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％给予奖励，最高不</w:t>
      </w:r>
      <w:r>
        <w:rPr>
          <w:rFonts w:ascii="微软雅黑" w:eastAsia="微软雅黑" w:hAnsi="微软雅黑" w:hint="eastAsia"/>
          <w:color w:val="333333"/>
          <w:sz w:val="19"/>
          <w:szCs w:val="19"/>
        </w:rPr>
        <w:t>超过</w:t>
      </w:r>
      <w:r>
        <w:rPr>
          <w:rFonts w:ascii="微软雅黑" w:eastAsia="微软雅黑" w:hAnsi="微软雅黑" w:hint="eastAsia"/>
          <w:color w:val="333333"/>
          <w:sz w:val="19"/>
          <w:szCs w:val="19"/>
        </w:rPr>
        <w:t>50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（三）拓宽人才引进渠道</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77.</w:t>
      </w:r>
      <w:r>
        <w:rPr>
          <w:rFonts w:ascii="微软雅黑" w:eastAsia="微软雅黑" w:hAnsi="微软雅黑" w:hint="eastAsia"/>
          <w:color w:val="333333"/>
          <w:sz w:val="19"/>
          <w:szCs w:val="19"/>
        </w:rPr>
        <w:t>鼓励社会各界举荐人才。对成功引进诺贝尔奖得主、“两院”院士、国家“千人计划”专家和“万人计划”人才、广东省创新创业团队和领军人才、海外高端人才的中介机构</w:t>
      </w:r>
      <w:r>
        <w:rPr>
          <w:rFonts w:ascii="微软雅黑" w:eastAsia="微软雅黑" w:hAnsi="微软雅黑" w:hint="eastAsia"/>
          <w:color w:val="333333"/>
          <w:sz w:val="19"/>
          <w:szCs w:val="19"/>
        </w:rPr>
        <w:lastRenderedPageBreak/>
        <w:t>或个人，每引进一人（团队）给予</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万元的奖励。</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78.</w:t>
      </w:r>
      <w:r>
        <w:rPr>
          <w:rFonts w:ascii="微软雅黑" w:eastAsia="微软雅黑" w:hAnsi="微软雅黑" w:hint="eastAsia"/>
          <w:color w:val="333333"/>
          <w:sz w:val="19"/>
          <w:szCs w:val="19"/>
        </w:rPr>
        <w:t>搭建国内外人才引进网络。在国内外人才集聚地区建立人才工作站或向专业中介机构购买服务，开展高端人才、项目引进工作，给予每个工作站或中介机构每年</w:t>
      </w:r>
      <w:r>
        <w:rPr>
          <w:rFonts w:ascii="微软雅黑" w:eastAsia="微软雅黑" w:hAnsi="微软雅黑" w:hint="eastAsia"/>
          <w:color w:val="333333"/>
          <w:sz w:val="19"/>
          <w:szCs w:val="19"/>
        </w:rPr>
        <w:t>10</w:t>
      </w:r>
      <w:r>
        <w:rPr>
          <w:rFonts w:ascii="微软雅黑" w:eastAsia="微软雅黑" w:hAnsi="微软雅黑" w:hint="eastAsia"/>
          <w:color w:val="333333"/>
          <w:sz w:val="19"/>
          <w:szCs w:val="19"/>
        </w:rPr>
        <w:t>万元</w:t>
      </w:r>
      <w:r>
        <w:rPr>
          <w:rFonts w:ascii="微软雅黑" w:eastAsia="微软雅黑" w:hAnsi="微软雅黑" w:hint="eastAsia"/>
          <w:color w:val="333333"/>
          <w:sz w:val="19"/>
          <w:szCs w:val="19"/>
        </w:rPr>
        <w:t>-30</w:t>
      </w:r>
      <w:r>
        <w:rPr>
          <w:rFonts w:ascii="微软雅黑" w:eastAsia="微软雅黑" w:hAnsi="微软雅黑" w:hint="eastAsia"/>
          <w:color w:val="333333"/>
          <w:sz w:val="19"/>
          <w:szCs w:val="19"/>
        </w:rPr>
        <w:t>万元的工作经费。鼓励开展校</w:t>
      </w:r>
      <w:proofErr w:type="gramStart"/>
      <w:r>
        <w:rPr>
          <w:rFonts w:ascii="微软雅黑" w:eastAsia="微软雅黑" w:hAnsi="微软雅黑" w:hint="eastAsia"/>
          <w:color w:val="333333"/>
          <w:sz w:val="19"/>
          <w:szCs w:val="19"/>
        </w:rPr>
        <w:t>企交流</w:t>
      </w:r>
      <w:proofErr w:type="gramEnd"/>
      <w:r>
        <w:rPr>
          <w:rFonts w:ascii="微软雅黑" w:eastAsia="微软雅黑" w:hAnsi="微软雅黑" w:hint="eastAsia"/>
          <w:color w:val="333333"/>
          <w:sz w:val="19"/>
          <w:szCs w:val="19"/>
        </w:rPr>
        <w:t>合作，支持企业同国内</w:t>
      </w:r>
      <w:r>
        <w:rPr>
          <w:rFonts w:ascii="微软雅黑" w:eastAsia="微软雅黑" w:hAnsi="微软雅黑" w:hint="eastAsia"/>
          <w:color w:val="333333"/>
          <w:sz w:val="19"/>
          <w:szCs w:val="19"/>
        </w:rPr>
        <w:lastRenderedPageBreak/>
        <w:t>外知名学府、省内外职校建立长</w:t>
      </w:r>
      <w:r>
        <w:rPr>
          <w:rFonts w:ascii="微软雅黑" w:eastAsia="微软雅黑" w:hAnsi="微软雅黑" w:hint="eastAsia"/>
          <w:color w:val="333333"/>
          <w:sz w:val="19"/>
          <w:szCs w:val="19"/>
        </w:rPr>
        <w:t>期合作机制，每年举办</w:t>
      </w:r>
      <w:r>
        <w:rPr>
          <w:rFonts w:ascii="微软雅黑" w:eastAsia="微软雅黑" w:hAnsi="微软雅黑" w:hint="eastAsia"/>
          <w:color w:val="333333"/>
          <w:sz w:val="19"/>
          <w:szCs w:val="19"/>
        </w:rPr>
        <w:t>2-3</w:t>
      </w:r>
      <w:r>
        <w:rPr>
          <w:rFonts w:ascii="微软雅黑" w:eastAsia="微软雅黑" w:hAnsi="微软雅黑" w:hint="eastAsia"/>
          <w:color w:val="333333"/>
          <w:sz w:val="19"/>
          <w:szCs w:val="19"/>
        </w:rPr>
        <w:t>场大型人才交流活动，帮助企业引进优质高校学子和技能型人才。</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（四）实施人才安居工程</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79.</w:t>
      </w:r>
      <w:r>
        <w:rPr>
          <w:rFonts w:ascii="微软雅黑" w:eastAsia="微软雅黑" w:hAnsi="微软雅黑" w:hint="eastAsia"/>
          <w:color w:val="333333"/>
          <w:sz w:val="19"/>
          <w:szCs w:val="19"/>
        </w:rPr>
        <w:t>加大人才住房保障力度。未来五年筹集提供不少于</w:t>
      </w:r>
      <w:r>
        <w:rPr>
          <w:rFonts w:ascii="微软雅黑" w:eastAsia="微软雅黑" w:hAnsi="微软雅黑" w:hint="eastAsia"/>
          <w:color w:val="333333"/>
          <w:sz w:val="19"/>
          <w:szCs w:val="19"/>
        </w:rPr>
        <w:t>1000</w:t>
      </w:r>
      <w:r>
        <w:rPr>
          <w:rFonts w:ascii="微软雅黑" w:eastAsia="微软雅黑" w:hAnsi="微软雅黑" w:hint="eastAsia"/>
          <w:color w:val="333333"/>
          <w:sz w:val="19"/>
          <w:szCs w:val="19"/>
        </w:rPr>
        <w:t>套人才公寓房，提供给</w:t>
      </w:r>
      <w:r>
        <w:rPr>
          <w:rFonts w:ascii="微软雅黑" w:eastAsia="微软雅黑" w:hAnsi="微软雅黑" w:hint="eastAsia"/>
          <w:color w:val="333333"/>
          <w:sz w:val="19"/>
          <w:szCs w:val="19"/>
        </w:rPr>
        <w:lastRenderedPageBreak/>
        <w:t>在香</w:t>
      </w:r>
      <w:proofErr w:type="gramStart"/>
      <w:r>
        <w:rPr>
          <w:rFonts w:ascii="微软雅黑" w:eastAsia="微软雅黑" w:hAnsi="微软雅黑" w:hint="eastAsia"/>
          <w:color w:val="333333"/>
          <w:sz w:val="19"/>
          <w:szCs w:val="19"/>
        </w:rPr>
        <w:t>洲创新</w:t>
      </w:r>
      <w:proofErr w:type="gramEnd"/>
      <w:r>
        <w:rPr>
          <w:rFonts w:ascii="微软雅黑" w:eastAsia="微软雅黑" w:hAnsi="微软雅黑" w:hint="eastAsia"/>
          <w:color w:val="333333"/>
          <w:sz w:val="19"/>
          <w:szCs w:val="19"/>
        </w:rPr>
        <w:t>创业的高端产业人才租住，符合条件的给予租金补贴；如选择自行租房，可享受连续五年每年最高</w:t>
      </w:r>
      <w:r>
        <w:rPr>
          <w:rFonts w:ascii="微软雅黑" w:eastAsia="微软雅黑" w:hAnsi="微软雅黑" w:hint="eastAsia"/>
          <w:color w:val="333333"/>
          <w:sz w:val="19"/>
          <w:szCs w:val="19"/>
        </w:rPr>
        <w:t>3.6</w:t>
      </w:r>
      <w:r>
        <w:rPr>
          <w:rFonts w:ascii="微软雅黑" w:eastAsia="微软雅黑" w:hAnsi="微软雅黑" w:hint="eastAsia"/>
          <w:color w:val="333333"/>
          <w:sz w:val="19"/>
          <w:szCs w:val="19"/>
        </w:rPr>
        <w:t>万元的租房补贴。在珠海首次购房的高端产业人才，可享受最高</w:t>
      </w:r>
      <w:r>
        <w:rPr>
          <w:rFonts w:ascii="微软雅黑" w:eastAsia="微软雅黑" w:hAnsi="微软雅黑" w:hint="eastAsia"/>
          <w:color w:val="333333"/>
          <w:sz w:val="19"/>
          <w:szCs w:val="19"/>
        </w:rPr>
        <w:t>30</w:t>
      </w:r>
      <w:r>
        <w:rPr>
          <w:rFonts w:ascii="微软雅黑" w:eastAsia="微软雅黑" w:hAnsi="微软雅黑" w:hint="eastAsia"/>
          <w:color w:val="333333"/>
          <w:sz w:val="19"/>
          <w:szCs w:val="19"/>
        </w:rPr>
        <w:t>万元的购房补贴。给予在市级及以上工程技术研究中心和企业技术中心工作的高校应届毕业生租房补贴，最高补贴</w:t>
      </w:r>
      <w:r>
        <w:rPr>
          <w:rFonts w:ascii="微软雅黑" w:eastAsia="微软雅黑" w:hAnsi="微软雅黑" w:hint="eastAsia"/>
          <w:color w:val="333333"/>
          <w:sz w:val="19"/>
          <w:szCs w:val="19"/>
        </w:rPr>
        <w:lastRenderedPageBreak/>
        <w:t>1.2</w:t>
      </w:r>
      <w:r>
        <w:rPr>
          <w:rFonts w:ascii="微软雅黑" w:eastAsia="微软雅黑" w:hAnsi="微软雅黑" w:hint="eastAsia"/>
          <w:color w:val="333333"/>
          <w:sz w:val="19"/>
          <w:szCs w:val="19"/>
        </w:rPr>
        <w:t>万元。推广建设青年人才驿站，提供给来香</w:t>
      </w:r>
      <w:proofErr w:type="gramStart"/>
      <w:r>
        <w:rPr>
          <w:rFonts w:ascii="微软雅黑" w:eastAsia="微软雅黑" w:hAnsi="微软雅黑" w:hint="eastAsia"/>
          <w:color w:val="333333"/>
          <w:sz w:val="19"/>
          <w:szCs w:val="19"/>
        </w:rPr>
        <w:t>洲就业</w:t>
      </w:r>
      <w:proofErr w:type="gramEnd"/>
      <w:r>
        <w:rPr>
          <w:rFonts w:ascii="微软雅黑" w:eastAsia="微软雅黑" w:hAnsi="微软雅黑" w:hint="eastAsia"/>
          <w:color w:val="333333"/>
          <w:sz w:val="19"/>
          <w:szCs w:val="19"/>
        </w:rPr>
        <w:t>的应届毕业生短期居住。</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（五）建立健全人才保障体系</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w:t>
      </w:r>
      <w:r>
        <w:rPr>
          <w:rFonts w:ascii="微软雅黑" w:eastAsia="微软雅黑" w:hAnsi="微软雅黑" w:hint="eastAsia"/>
          <w:color w:val="333333"/>
          <w:sz w:val="19"/>
          <w:szCs w:val="19"/>
        </w:rPr>
        <w:t>80.</w:t>
      </w:r>
      <w:r>
        <w:rPr>
          <w:rFonts w:ascii="微软雅黑" w:eastAsia="微软雅黑" w:hAnsi="微软雅黑" w:hint="eastAsia"/>
          <w:color w:val="333333"/>
          <w:sz w:val="19"/>
          <w:szCs w:val="19"/>
        </w:rPr>
        <w:t>为人才提供医疗保障、子女入学、父母养老等保障。高端产业人才可享受就医绿色通道，优先安排预约诊、检查、</w:t>
      </w:r>
      <w:r>
        <w:rPr>
          <w:rFonts w:ascii="微软雅黑" w:eastAsia="微软雅黑" w:hAnsi="微软雅黑" w:hint="eastAsia"/>
          <w:color w:val="333333"/>
          <w:sz w:val="19"/>
          <w:szCs w:val="19"/>
        </w:rPr>
        <w:lastRenderedPageBreak/>
        <w:t>手术，每年组织一次免费体检。高端产业人才、归国留学人员、青年优秀人才、高级技能人才、“高精尖缺”人才以及在香洲区重点企业工作的高管及研发技术骨干，其非本市户籍子女，可统筹安排在香洲区公办小学、初中就读。高端产业人才父母可享受与香洲户籍老人同等的养老津贴补助，在申请</w:t>
      </w:r>
      <w:proofErr w:type="gramStart"/>
      <w:r>
        <w:rPr>
          <w:rFonts w:ascii="微软雅黑" w:eastAsia="微软雅黑" w:hAnsi="微软雅黑" w:hint="eastAsia"/>
          <w:color w:val="333333"/>
          <w:sz w:val="19"/>
          <w:szCs w:val="19"/>
        </w:rPr>
        <w:t>入住镇</w:t>
      </w:r>
      <w:proofErr w:type="gramEnd"/>
      <w:r>
        <w:rPr>
          <w:rFonts w:ascii="微软雅黑" w:eastAsia="微软雅黑" w:hAnsi="微软雅黑" w:hint="eastAsia"/>
          <w:color w:val="333333"/>
          <w:sz w:val="19"/>
          <w:szCs w:val="19"/>
        </w:rPr>
        <w:lastRenderedPageBreak/>
        <w:t>街养老服务中心等公立养老机构时可予以优先安排，在购买社会化养老服务时给予</w:t>
      </w:r>
      <w:r>
        <w:rPr>
          <w:rFonts w:ascii="微软雅黑" w:eastAsia="微软雅黑" w:hAnsi="微软雅黑" w:hint="eastAsia"/>
          <w:color w:val="333333"/>
          <w:sz w:val="19"/>
          <w:szCs w:val="19"/>
        </w:rPr>
        <w:t>适当补贴。</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五、健全创新发展保障机制，提高政府创新服务水平</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（一）强化组织领导。区委、区政府加强统筹协调，镇街、园区、部门全面履行职责，</w:t>
      </w:r>
      <w:r>
        <w:rPr>
          <w:rFonts w:ascii="微软雅黑" w:eastAsia="微软雅黑" w:hAnsi="微软雅黑" w:hint="eastAsia"/>
          <w:color w:val="333333"/>
          <w:sz w:val="19"/>
          <w:szCs w:val="19"/>
        </w:rPr>
        <w:lastRenderedPageBreak/>
        <w:t>确保创新发展若干措施落实到位。打造“亲、清”政商关系，密切政府与企业的交流联络，建立常态化服务企业机制，对大型企业提供“一对一”的专门服务，为中小</w:t>
      </w:r>
      <w:proofErr w:type="gramStart"/>
      <w:r>
        <w:rPr>
          <w:rFonts w:ascii="微软雅黑" w:eastAsia="微软雅黑" w:hAnsi="微软雅黑" w:hint="eastAsia"/>
          <w:color w:val="333333"/>
          <w:sz w:val="19"/>
          <w:szCs w:val="19"/>
        </w:rPr>
        <w:t>微企业</w:t>
      </w:r>
      <w:proofErr w:type="gramEnd"/>
      <w:r>
        <w:rPr>
          <w:rFonts w:ascii="微软雅黑" w:eastAsia="微软雅黑" w:hAnsi="微软雅黑" w:hint="eastAsia"/>
          <w:color w:val="333333"/>
          <w:sz w:val="19"/>
          <w:szCs w:val="19"/>
        </w:rPr>
        <w:t>解决实际困难和问题。</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（二）提高政府行政效能。</w:t>
      </w:r>
      <w:r>
        <w:rPr>
          <w:rFonts w:ascii="微软雅黑" w:eastAsia="微软雅黑" w:hAnsi="微软雅黑" w:hint="eastAsia"/>
          <w:color w:val="333333"/>
          <w:sz w:val="19"/>
          <w:szCs w:val="19"/>
        </w:rPr>
        <w:t>强化基层公共服务综合平台建设，加快推进“一门式、一网</w:t>
      </w:r>
      <w:r>
        <w:rPr>
          <w:rFonts w:ascii="微软雅黑" w:eastAsia="微软雅黑" w:hAnsi="微软雅黑" w:hint="eastAsia"/>
          <w:color w:val="333333"/>
          <w:sz w:val="19"/>
          <w:szCs w:val="19"/>
        </w:rPr>
        <w:lastRenderedPageBreak/>
        <w:t>式”政府服务模式改革，进一步优化审批流程，精简审批环节，缩短审批时间。严格落实供给侧结构性改革，抓好“三去一降一补”，全面减轻企业负担。</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（三）建立经费保障机制。建立财政投入动态增长机制，确保创新发展的资金投入增速</w:t>
      </w:r>
      <w:r>
        <w:rPr>
          <w:rFonts w:ascii="微软雅黑" w:eastAsia="微软雅黑" w:hAnsi="微软雅黑" w:hint="eastAsia"/>
          <w:color w:val="333333"/>
          <w:sz w:val="19"/>
          <w:szCs w:val="19"/>
        </w:rPr>
        <w:lastRenderedPageBreak/>
        <w:t>高于一般公共预算收入增速的</w:t>
      </w:r>
      <w:r>
        <w:rPr>
          <w:rFonts w:ascii="微软雅黑" w:eastAsia="微软雅黑" w:hAnsi="微软雅黑" w:hint="eastAsia"/>
          <w:color w:val="333333"/>
          <w:sz w:val="19"/>
          <w:szCs w:val="19"/>
        </w:rPr>
        <w:t>5</w:t>
      </w:r>
      <w:r>
        <w:rPr>
          <w:rFonts w:ascii="微软雅黑" w:eastAsia="微软雅黑" w:hAnsi="微软雅黑" w:hint="eastAsia"/>
          <w:color w:val="333333"/>
          <w:sz w:val="19"/>
          <w:szCs w:val="19"/>
        </w:rPr>
        <w:t>％。</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t xml:space="preserve">　　（四）引入第三方评审机制。成立香洲</w:t>
      </w:r>
      <w:proofErr w:type="gramStart"/>
      <w:r>
        <w:rPr>
          <w:rFonts w:ascii="微软雅黑" w:eastAsia="微软雅黑" w:hAnsi="微软雅黑" w:hint="eastAsia"/>
          <w:color w:val="333333"/>
          <w:sz w:val="19"/>
          <w:szCs w:val="19"/>
        </w:rPr>
        <w:t>区创新</w:t>
      </w:r>
      <w:proofErr w:type="gramEnd"/>
      <w:r>
        <w:rPr>
          <w:rFonts w:ascii="微软雅黑" w:eastAsia="微软雅黑" w:hAnsi="微软雅黑" w:hint="eastAsia"/>
          <w:color w:val="333333"/>
          <w:sz w:val="19"/>
          <w:szCs w:val="19"/>
        </w:rPr>
        <w:t>发展专家库，对人才团队和创新项目等进行评估，及时推动事前、事中、事后的扶持政策落实到位。</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（五）制定配套实施办法和操作规程。</w:t>
      </w:r>
      <w:proofErr w:type="gramStart"/>
      <w:r>
        <w:rPr>
          <w:rFonts w:ascii="微软雅黑" w:eastAsia="微软雅黑" w:hAnsi="微软雅黑" w:hint="eastAsia"/>
          <w:color w:val="333333"/>
          <w:sz w:val="19"/>
          <w:szCs w:val="19"/>
        </w:rPr>
        <w:t>本措施</w:t>
      </w:r>
      <w:proofErr w:type="gramEnd"/>
      <w:r>
        <w:rPr>
          <w:rFonts w:ascii="微软雅黑" w:eastAsia="微软雅黑" w:hAnsi="微软雅黑" w:hint="eastAsia"/>
          <w:color w:val="333333"/>
          <w:sz w:val="19"/>
          <w:szCs w:val="19"/>
        </w:rPr>
        <w:t>涉及的各职能部门应当自本</w:t>
      </w:r>
      <w:r>
        <w:rPr>
          <w:rFonts w:ascii="微软雅黑" w:eastAsia="微软雅黑" w:hAnsi="微软雅黑" w:hint="eastAsia"/>
          <w:color w:val="333333"/>
          <w:sz w:val="19"/>
          <w:szCs w:val="19"/>
        </w:rPr>
        <w:t>政策措施发布之日起</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个月内，制定或完善具体配套实施办法与操作规程，明确申请条件、简化操作流程、加强考核监督，并定期开展政策调查和绩效评估，确保各项政策落实。</w:t>
      </w:r>
      <w:r>
        <w:rPr>
          <w:rFonts w:ascii="微软雅黑" w:eastAsia="微软雅黑" w:hAnsi="微软雅黑" w:hint="eastAsia"/>
          <w:color w:val="333333"/>
          <w:sz w:val="19"/>
          <w:szCs w:val="19"/>
        </w:rPr>
        <w:t> </w:t>
      </w:r>
    </w:p>
    <w:p w:rsidR="00000000" w:rsidRDefault="00EC74C1">
      <w:pPr>
        <w:shd w:val="clear" w:color="auto" w:fill="FFFFFF"/>
        <w:spacing w:before="100" w:beforeAutospacing="1" w:line="360" w:lineRule="atLeast"/>
        <w:divId w:val="890965860"/>
        <w:rPr>
          <w:rFonts w:ascii="微软雅黑" w:eastAsia="微软雅黑" w:hAnsi="微软雅黑" w:hint="eastAsia"/>
          <w:color w:val="333333"/>
          <w:sz w:val="19"/>
          <w:szCs w:val="19"/>
        </w:rPr>
      </w:pPr>
      <w:r>
        <w:rPr>
          <w:rFonts w:ascii="微软雅黑" w:eastAsia="微软雅黑" w:hAnsi="微软雅黑" w:hint="eastAsia"/>
          <w:color w:val="333333"/>
          <w:sz w:val="19"/>
          <w:szCs w:val="19"/>
        </w:rPr>
        <w:lastRenderedPageBreak/>
        <w:t xml:space="preserve">　　（六）其他。</w:t>
      </w:r>
      <w:proofErr w:type="gramStart"/>
      <w:r>
        <w:rPr>
          <w:rFonts w:ascii="微软雅黑" w:eastAsia="微软雅黑" w:hAnsi="微软雅黑" w:hint="eastAsia"/>
          <w:color w:val="333333"/>
          <w:sz w:val="19"/>
          <w:szCs w:val="19"/>
        </w:rPr>
        <w:t>本措施</w:t>
      </w:r>
      <w:proofErr w:type="gramEnd"/>
      <w:r>
        <w:rPr>
          <w:rFonts w:ascii="微软雅黑" w:eastAsia="微软雅黑" w:hAnsi="微软雅黑" w:hint="eastAsia"/>
          <w:color w:val="333333"/>
          <w:sz w:val="19"/>
          <w:szCs w:val="19"/>
        </w:rPr>
        <w:t>自</w:t>
      </w:r>
      <w:r>
        <w:rPr>
          <w:rFonts w:ascii="微软雅黑" w:eastAsia="微软雅黑" w:hAnsi="微软雅黑" w:hint="eastAsia"/>
          <w:color w:val="333333"/>
          <w:sz w:val="19"/>
          <w:szCs w:val="19"/>
        </w:rPr>
        <w:t>2017</w:t>
      </w:r>
      <w:r>
        <w:rPr>
          <w:rFonts w:ascii="微软雅黑" w:eastAsia="微软雅黑" w:hAnsi="微软雅黑" w:hint="eastAsia"/>
          <w:color w:val="333333"/>
          <w:sz w:val="19"/>
          <w:szCs w:val="19"/>
        </w:rPr>
        <w:t>年</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月</w:t>
      </w:r>
      <w:r>
        <w:rPr>
          <w:rFonts w:ascii="微软雅黑" w:eastAsia="微软雅黑" w:hAnsi="微软雅黑" w:hint="eastAsia"/>
          <w:color w:val="333333"/>
          <w:sz w:val="19"/>
          <w:szCs w:val="19"/>
        </w:rPr>
        <w:t>1</w:t>
      </w:r>
      <w:r>
        <w:rPr>
          <w:rFonts w:ascii="微软雅黑" w:eastAsia="微软雅黑" w:hAnsi="微软雅黑" w:hint="eastAsia"/>
          <w:color w:val="333333"/>
          <w:sz w:val="19"/>
          <w:szCs w:val="19"/>
        </w:rPr>
        <w:t>日起施行。国家政策有重大调整或另有规定的，予以相应调整。</w:t>
      </w:r>
      <w:proofErr w:type="gramStart"/>
      <w:r>
        <w:rPr>
          <w:rFonts w:ascii="微软雅黑" w:eastAsia="微软雅黑" w:hAnsi="微软雅黑" w:hint="eastAsia"/>
          <w:color w:val="333333"/>
          <w:sz w:val="19"/>
          <w:szCs w:val="19"/>
        </w:rPr>
        <w:t>本措施</w:t>
      </w:r>
      <w:proofErr w:type="gramEnd"/>
      <w:r>
        <w:rPr>
          <w:rFonts w:ascii="微软雅黑" w:eastAsia="微软雅黑" w:hAnsi="微软雅黑" w:hint="eastAsia"/>
          <w:color w:val="333333"/>
          <w:sz w:val="19"/>
          <w:szCs w:val="19"/>
        </w:rPr>
        <w:t>由香洲区人民政府负责解释。</w:t>
      </w:r>
      <w:r>
        <w:rPr>
          <w:rFonts w:ascii="微软雅黑" w:eastAsia="微软雅黑" w:hAnsi="微软雅黑" w:hint="eastAsia"/>
          <w:color w:val="333333"/>
          <w:sz w:val="19"/>
          <w:szCs w:val="19"/>
        </w:rPr>
        <w:t> </w:t>
      </w:r>
    </w:p>
    <w:p w:rsidR="00000000" w:rsidRDefault="00EC74C1">
      <w:pPr>
        <w:shd w:val="clear" w:color="auto" w:fill="FFFFFF"/>
        <w:spacing w:before="84"/>
        <w:divId w:val="917059189"/>
        <w:rPr>
          <w:rFonts w:hint="eastAsia"/>
          <w:color w:val="333333"/>
        </w:rPr>
      </w:pPr>
      <w:r>
        <w:fldChar w:fldCharType="begin"/>
      </w:r>
      <w:r>
        <w:instrText xml:space="preserve"> </w:instrText>
      </w:r>
      <w:r>
        <w:instrText>HYPERLINK "http://www.zhxz.gov.cn/qt/phone/index.html" \o "" \t "_bank"</w:instrText>
      </w:r>
      <w:r>
        <w:instrText xml:space="preserve"> </w:instrText>
      </w:r>
      <w:r>
        <w:fldChar w:fldCharType="separate"/>
      </w:r>
    </w:p>
    <w:p w:rsidR="00000000" w:rsidRDefault="00EC74C1">
      <w:pPr>
        <w:shd w:val="clear" w:color="auto" w:fill="FFFFFF"/>
        <w:spacing w:before="84"/>
        <w:divId w:val="992871864"/>
        <w:rPr>
          <w:vanish/>
          <w:color w:val="333333"/>
        </w:rPr>
      </w:pPr>
      <w:r>
        <w:rPr>
          <w:noProof/>
          <w:vanish/>
          <w:color w:val="333333"/>
        </w:rPr>
        <w:drawing>
          <wp:inline distT="0" distB="0" distL="0" distR="0">
            <wp:extent cx="304800" cy="304800"/>
            <wp:effectExtent l="19050" t="0" r="0" b="0"/>
            <wp:docPr id="13" name="图片 13" descr="珠海香洲APP">
              <a:hlinkClick xmlns:a="http://schemas.openxmlformats.org/drawingml/2006/main" r:id="rId5" tgtFrame="&quot;_b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珠海香洲APP">
                      <a:hlinkClick r:id="rId5" tgtFrame="&quot;_bank&quot;" tooltip="&quot;&quot;"/>
                    </pic:cNvPr>
                    <pic:cNvPicPr>
                      <a:picLocks noChangeAspect="1" noChangeArrowheads="1"/>
                    </pic:cNvPicPr>
                  </pic:nvPicPr>
                  <pic:blipFill>
                    <a:blip r:link="rId6"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000000" w:rsidRDefault="00EC74C1" w:rsidP="00EC74C1">
      <w:pPr>
        <w:shd w:val="clear" w:color="auto" w:fill="FFFFFF"/>
        <w:spacing w:before="84"/>
        <w:ind w:left="6480"/>
        <w:divId w:val="917059189"/>
      </w:pPr>
      <w:r>
        <w:fldChar w:fldCharType="end"/>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7FAA"/>
    <w:multiLevelType w:val="multilevel"/>
    <w:tmpl w:val="E456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2774A"/>
    <w:multiLevelType w:val="multilevel"/>
    <w:tmpl w:val="2B0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C6680C"/>
    <w:multiLevelType w:val="multilevel"/>
    <w:tmpl w:val="D5DE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6F2EFD"/>
    <w:multiLevelType w:val="multilevel"/>
    <w:tmpl w:val="C4A8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332F6D"/>
    <w:multiLevelType w:val="multilevel"/>
    <w:tmpl w:val="4DFC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D2495C"/>
    <w:multiLevelType w:val="multilevel"/>
    <w:tmpl w:val="2916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noPunctuationKerning/>
  <w:characterSpacingControl w:val="doNotCompress"/>
  <w:compat>
    <w:useFELayout/>
  </w:compat>
  <w:rsids>
    <w:rsidRoot w:val="00CC0121"/>
    <w:rsid w:val="00CC0121"/>
    <w:rsid w:val="00EC74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b/>
      <w:bCs/>
      <w:kern w:val="36"/>
    </w:rPr>
  </w:style>
  <w:style w:type="paragraph" w:styleId="2">
    <w:name w:val="heading 2"/>
    <w:basedOn w:val="a"/>
    <w:link w:val="2Char"/>
    <w:uiPriority w:val="9"/>
    <w:qFormat/>
    <w:pPr>
      <w:spacing w:before="100" w:beforeAutospacing="1" w:after="100" w:afterAutospacing="1"/>
      <w:outlineLvl w:val="1"/>
    </w:pPr>
    <w:rPr>
      <w:b/>
      <w:bCs/>
    </w:rPr>
  </w:style>
  <w:style w:type="paragraph" w:styleId="3">
    <w:name w:val="heading 3"/>
    <w:basedOn w:val="a"/>
    <w:link w:val="3Char"/>
    <w:uiPriority w:val="9"/>
    <w:qFormat/>
    <w:pPr>
      <w:spacing w:before="100" w:beforeAutospacing="1" w:after="100" w:afterAutospacing="1"/>
      <w:outlineLvl w:val="2"/>
    </w:pPr>
    <w:rPr>
      <w:b/>
      <w:bCs/>
    </w:rPr>
  </w:style>
  <w:style w:type="paragraph" w:styleId="4">
    <w:name w:val="heading 4"/>
    <w:basedOn w:val="a"/>
    <w:link w:val="4Char"/>
    <w:uiPriority w:val="9"/>
    <w:qFormat/>
    <w:pPr>
      <w:spacing w:before="100" w:beforeAutospacing="1" w:after="100" w:afterAutospacing="1"/>
      <w:outlineLvl w:val="3"/>
    </w:pPr>
    <w:rPr>
      <w:b/>
      <w:bCs/>
    </w:rPr>
  </w:style>
  <w:style w:type="paragraph" w:styleId="5">
    <w:name w:val="heading 5"/>
    <w:basedOn w:val="a"/>
    <w:link w:val="5Char"/>
    <w:uiPriority w:val="9"/>
    <w:qFormat/>
    <w:pPr>
      <w:spacing w:before="100" w:beforeAutospacing="1" w:after="100" w:afterAutospacing="1"/>
      <w:outlineLvl w:val="4"/>
    </w:pPr>
    <w:rPr>
      <w:b/>
      <w:bCs/>
    </w:rPr>
  </w:style>
  <w:style w:type="paragraph" w:styleId="6">
    <w:name w:val="heading 6"/>
    <w:basedOn w:val="a"/>
    <w:link w:val="6Char"/>
    <w:uiPriority w:val="9"/>
    <w:qFormat/>
    <w:pPr>
      <w:spacing w:before="100" w:beforeAutospacing="1" w:after="100" w:afterAutospacing="1"/>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333333"/>
      <w:u w:val="none"/>
      <w:effect w:val="none"/>
    </w:rPr>
  </w:style>
  <w:style w:type="character" w:styleId="a4">
    <w:name w:val="FollowedHyperlink"/>
    <w:basedOn w:val="a0"/>
    <w:uiPriority w:val="99"/>
    <w:semiHidden/>
    <w:unhideWhenUsed/>
    <w:rPr>
      <w:strike w:val="0"/>
      <w:dstrike w:val="0"/>
      <w:color w:val="333333"/>
      <w:u w:val="none"/>
      <w:effect w:val="none"/>
    </w:rPr>
  </w:style>
  <w:style w:type="paragraph" w:styleId="HTML">
    <w:name w:val="HTML Address"/>
    <w:basedOn w:val="a"/>
    <w:link w:val="HTMLChar"/>
    <w:uiPriority w:val="99"/>
    <w:semiHidden/>
    <w:unhideWhenUsed/>
  </w:style>
  <w:style w:type="character" w:customStyle="1" w:styleId="HTMLChar">
    <w:name w:val="HTML 地址 Char"/>
    <w:basedOn w:val="a0"/>
    <w:link w:val="HTML"/>
    <w:uiPriority w:val="99"/>
    <w:semiHidden/>
    <w:rPr>
      <w:rFonts w:ascii="宋体" w:eastAsia="宋体" w:hAnsi="宋体" w:cs="宋体"/>
      <w:i/>
      <w:iCs/>
      <w:sz w:val="24"/>
      <w:szCs w:val="24"/>
    </w:rPr>
  </w:style>
  <w:style w:type="character" w:styleId="HTML0">
    <w:name w:val="HTML Cite"/>
    <w:basedOn w:val="a0"/>
    <w:uiPriority w:val="99"/>
    <w:semiHidden/>
    <w:unhideWhenUsed/>
    <w:rPr>
      <w:i w:val="0"/>
      <w:iCs w:val="0"/>
    </w:rPr>
  </w:style>
  <w:style w:type="character" w:styleId="HTML1">
    <w:name w:val="HTML Code"/>
    <w:basedOn w:val="a0"/>
    <w:uiPriority w:val="99"/>
    <w:semiHidden/>
    <w:unhideWhenUsed/>
    <w:rPr>
      <w:rFonts w:ascii="inherit" w:eastAsia="宋体" w:hAnsi="inherit" w:cs="宋体" w:hint="default"/>
      <w:sz w:val="24"/>
      <w:szCs w:val="24"/>
    </w:rPr>
  </w:style>
  <w:style w:type="character" w:styleId="HTML2">
    <w:name w:val="HTML Definition"/>
    <w:basedOn w:val="a0"/>
    <w:uiPriority w:val="99"/>
    <w:semiHidden/>
    <w:unhideWhenUsed/>
    <w:rPr>
      <w:i w:val="0"/>
      <w:iCs w:val="0"/>
    </w:rPr>
  </w:style>
  <w:style w:type="character" w:styleId="a5">
    <w:name w:val="Emphasis"/>
    <w:basedOn w:val="a0"/>
    <w:uiPriority w:val="20"/>
    <w:qFormat/>
    <w:rPr>
      <w:b/>
      <w:bCs/>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HTML3">
    <w:name w:val="HTML Keyboard"/>
    <w:basedOn w:val="a0"/>
    <w:uiPriority w:val="99"/>
    <w:semiHidden/>
    <w:unhideWhenUsed/>
    <w:rPr>
      <w:rFonts w:ascii="inherit" w:eastAsia="宋体" w:hAnsi="inherit" w:cs="宋体" w:hint="default"/>
      <w:sz w:val="24"/>
      <w:szCs w:val="24"/>
    </w:rPr>
  </w:style>
  <w:style w:type="paragraph" w:styleId="HTML4">
    <w:name w:val="HTML Preformatted"/>
    <w:basedOn w:val="a"/>
    <w:link w:val="HTMLChar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inherit" w:hAnsi="inherit"/>
    </w:rPr>
  </w:style>
  <w:style w:type="character" w:customStyle="1" w:styleId="HTMLChar0">
    <w:name w:val="HTML 预设格式 Char"/>
    <w:basedOn w:val="a0"/>
    <w:link w:val="HTML4"/>
    <w:uiPriority w:val="99"/>
    <w:semiHidden/>
    <w:rPr>
      <w:rFonts w:ascii="Courier New" w:eastAsia="宋体" w:hAnsi="Courier New" w:cs="Courier New"/>
    </w:rPr>
  </w:style>
  <w:style w:type="character" w:styleId="HTML5">
    <w:name w:val="HTML Sample"/>
    <w:basedOn w:val="a0"/>
    <w:uiPriority w:val="99"/>
    <w:semiHidden/>
    <w:unhideWhenUsed/>
    <w:rPr>
      <w:rFonts w:ascii="inherit" w:eastAsia="宋体" w:hAnsi="inherit" w:cs="宋体" w:hint="default"/>
    </w:rPr>
  </w:style>
  <w:style w:type="character" w:styleId="a6">
    <w:name w:val="Strong"/>
    <w:basedOn w:val="a0"/>
    <w:uiPriority w:val="22"/>
    <w:qFormat/>
    <w:rPr>
      <w:b/>
      <w:bCs/>
    </w:rPr>
  </w:style>
  <w:style w:type="character" w:styleId="HTML6">
    <w:name w:val="HTML Variable"/>
    <w:basedOn w:val="a0"/>
    <w:uiPriority w:val="99"/>
    <w:semiHidden/>
    <w:unhideWhenUsed/>
    <w:rPr>
      <w:i w:val="0"/>
      <w:iCs w:val="0"/>
    </w:rPr>
  </w:style>
  <w:style w:type="paragraph" w:styleId="a7">
    <w:name w:val="Normal (Web)"/>
    <w:basedOn w:val="a"/>
    <w:uiPriority w:val="99"/>
    <w:semiHidden/>
    <w:unhideWhenUsed/>
    <w:pPr>
      <w:spacing w:before="100" w:beforeAutospacing="1" w:after="100" w:afterAutospacing="1"/>
    </w:pPr>
  </w:style>
  <w:style w:type="paragraph" w:customStyle="1" w:styleId="p1">
    <w:name w:val="p1"/>
    <w:basedOn w:val="a"/>
    <w:pPr>
      <w:spacing w:before="100" w:beforeAutospacing="1" w:after="100" w:afterAutospacing="1"/>
    </w:pPr>
  </w:style>
  <w:style w:type="paragraph" w:customStyle="1" w:styleId="f-dn">
    <w:name w:val="f-dn"/>
    <w:basedOn w:val="a"/>
    <w:pPr>
      <w:spacing w:before="100" w:beforeAutospacing="1" w:after="100" w:afterAutospacing="1"/>
    </w:pPr>
    <w:rPr>
      <w:vanish/>
    </w:rPr>
  </w:style>
  <w:style w:type="paragraph" w:customStyle="1" w:styleId="f-db">
    <w:name w:val="f-db"/>
    <w:basedOn w:val="a"/>
    <w:pPr>
      <w:spacing w:before="100" w:beforeAutospacing="1" w:after="100" w:afterAutospacing="1"/>
    </w:pPr>
  </w:style>
  <w:style w:type="paragraph" w:customStyle="1" w:styleId="f-ff0">
    <w:name w:val="f-ff0"/>
    <w:basedOn w:val="a"/>
    <w:pPr>
      <w:spacing w:before="100" w:beforeAutospacing="1" w:after="100" w:afterAutospacing="1"/>
    </w:pPr>
    <w:rPr>
      <w:rFonts w:ascii="Arial" w:hAnsi="Arial" w:cs="Arial"/>
    </w:rPr>
  </w:style>
  <w:style w:type="paragraph" w:customStyle="1" w:styleId="f-ff1">
    <w:name w:val="f-ff1"/>
    <w:basedOn w:val="a"/>
    <w:pPr>
      <w:spacing w:before="100" w:beforeAutospacing="1" w:after="100" w:afterAutospacing="1"/>
    </w:pPr>
    <w:rPr>
      <w:rFonts w:ascii="微软雅黑" w:eastAsia="微软雅黑" w:hAnsi="微软雅黑"/>
    </w:rPr>
  </w:style>
  <w:style w:type="paragraph" w:customStyle="1" w:styleId="f-fs1">
    <w:name w:val="f-fs1"/>
    <w:basedOn w:val="a"/>
    <w:pPr>
      <w:spacing w:before="100" w:beforeAutospacing="1" w:after="100" w:afterAutospacing="1"/>
    </w:pPr>
    <w:rPr>
      <w:sz w:val="14"/>
      <w:szCs w:val="14"/>
    </w:rPr>
  </w:style>
  <w:style w:type="paragraph" w:customStyle="1" w:styleId="f-fs2">
    <w:name w:val="f-fs2"/>
    <w:basedOn w:val="a"/>
    <w:pPr>
      <w:spacing w:before="100" w:beforeAutospacing="1" w:after="100" w:afterAutospacing="1"/>
    </w:pPr>
    <w:rPr>
      <w:sz w:val="17"/>
      <w:szCs w:val="17"/>
    </w:rPr>
  </w:style>
  <w:style w:type="paragraph" w:customStyle="1" w:styleId="f-fwn">
    <w:name w:val="f-fwn"/>
    <w:basedOn w:val="a"/>
    <w:pPr>
      <w:spacing w:before="100" w:beforeAutospacing="1" w:after="100" w:afterAutospacing="1"/>
    </w:pPr>
  </w:style>
  <w:style w:type="paragraph" w:customStyle="1" w:styleId="f-fwb">
    <w:name w:val="f-fwb"/>
    <w:basedOn w:val="a"/>
    <w:pPr>
      <w:spacing w:before="100" w:beforeAutospacing="1" w:after="100" w:afterAutospacing="1"/>
    </w:pPr>
    <w:rPr>
      <w:b/>
      <w:bCs/>
    </w:rPr>
  </w:style>
  <w:style w:type="paragraph" w:customStyle="1" w:styleId="f-tal">
    <w:name w:val="f-tal"/>
    <w:basedOn w:val="a"/>
    <w:pPr>
      <w:spacing w:before="100" w:beforeAutospacing="1" w:after="100" w:afterAutospacing="1"/>
    </w:pPr>
  </w:style>
  <w:style w:type="paragraph" w:customStyle="1" w:styleId="f-tac">
    <w:name w:val="f-tac"/>
    <w:basedOn w:val="a"/>
    <w:pPr>
      <w:spacing w:before="100" w:beforeAutospacing="1" w:after="100" w:afterAutospacing="1"/>
      <w:jc w:val="center"/>
    </w:pPr>
  </w:style>
  <w:style w:type="paragraph" w:customStyle="1" w:styleId="f-tar">
    <w:name w:val="f-tar"/>
    <w:basedOn w:val="a"/>
    <w:pPr>
      <w:spacing w:before="100" w:beforeAutospacing="1" w:after="100" w:afterAutospacing="1"/>
      <w:jc w:val="right"/>
    </w:pPr>
  </w:style>
  <w:style w:type="paragraph" w:customStyle="1" w:styleId="f-taj">
    <w:name w:val="f-taj"/>
    <w:basedOn w:val="a"/>
    <w:pPr>
      <w:spacing w:before="100" w:beforeAutospacing="1" w:after="100" w:afterAutospacing="1"/>
      <w:jc w:val="both"/>
    </w:pPr>
  </w:style>
  <w:style w:type="paragraph" w:customStyle="1" w:styleId="f-wsn">
    <w:name w:val="f-wsn"/>
    <w:basedOn w:val="a"/>
    <w:pPr>
      <w:spacing w:before="100" w:beforeAutospacing="1" w:after="100" w:afterAutospacing="1"/>
    </w:pPr>
  </w:style>
  <w:style w:type="paragraph" w:customStyle="1" w:styleId="f-pre">
    <w:name w:val="f-pre"/>
    <w:basedOn w:val="a"/>
    <w:pPr>
      <w:wordWrap w:val="0"/>
      <w:spacing w:before="100" w:beforeAutospacing="1" w:after="100" w:afterAutospacing="1"/>
    </w:pPr>
  </w:style>
  <w:style w:type="paragraph" w:customStyle="1" w:styleId="f-wwb">
    <w:name w:val="f-wwb"/>
    <w:basedOn w:val="a"/>
    <w:pPr>
      <w:wordWrap w:val="0"/>
      <w:spacing w:before="100" w:beforeAutospacing="1" w:after="100" w:afterAutospacing="1"/>
    </w:pPr>
  </w:style>
  <w:style w:type="paragraph" w:customStyle="1" w:styleId="f-ti">
    <w:name w:val="f-ti"/>
    <w:basedOn w:val="a"/>
    <w:pPr>
      <w:spacing w:before="100" w:beforeAutospacing="1" w:after="100" w:afterAutospacing="1"/>
      <w:ind w:hanging="32320"/>
    </w:pPr>
  </w:style>
  <w:style w:type="paragraph" w:customStyle="1" w:styleId="f-ti2">
    <w:name w:val="f-ti2"/>
    <w:basedOn w:val="a"/>
    <w:pPr>
      <w:spacing w:before="100" w:beforeAutospacing="1" w:after="100" w:afterAutospacing="1"/>
      <w:ind w:firstLine="480"/>
    </w:pPr>
  </w:style>
  <w:style w:type="paragraph" w:customStyle="1" w:styleId="f-lhn">
    <w:name w:val="f-lhn"/>
    <w:basedOn w:val="a"/>
    <w:pPr>
      <w:spacing w:before="100" w:beforeAutospacing="1" w:after="100" w:afterAutospacing="1"/>
    </w:pPr>
  </w:style>
  <w:style w:type="paragraph" w:customStyle="1" w:styleId="f-tdn">
    <w:name w:val="f-tdn"/>
    <w:basedOn w:val="a"/>
    <w:pPr>
      <w:spacing w:before="100" w:beforeAutospacing="1" w:after="100" w:afterAutospacing="1"/>
    </w:pPr>
  </w:style>
  <w:style w:type="paragraph" w:customStyle="1" w:styleId="f-toe">
    <w:name w:val="f-toe"/>
    <w:basedOn w:val="a"/>
    <w:pPr>
      <w:spacing w:before="100" w:beforeAutospacing="1" w:after="100" w:afterAutospacing="1"/>
    </w:pPr>
  </w:style>
  <w:style w:type="paragraph" w:customStyle="1" w:styleId="g-m">
    <w:name w:val="g-m"/>
    <w:basedOn w:val="a"/>
  </w:style>
  <w:style w:type="paragraph" w:customStyle="1" w:styleId="fs1">
    <w:name w:val="fs1"/>
    <w:basedOn w:val="a"/>
    <w:pPr>
      <w:spacing w:before="100" w:beforeAutospacing="1" w:after="100" w:afterAutospacing="1"/>
    </w:pPr>
    <w:rPr>
      <w:sz w:val="17"/>
      <w:szCs w:val="17"/>
    </w:rPr>
  </w:style>
  <w:style w:type="paragraph" w:customStyle="1" w:styleId="fs2">
    <w:name w:val="fs2"/>
    <w:basedOn w:val="a"/>
    <w:pPr>
      <w:spacing w:before="100" w:beforeAutospacing="1" w:after="100" w:afterAutospacing="1"/>
    </w:pPr>
    <w:rPr>
      <w:sz w:val="19"/>
      <w:szCs w:val="19"/>
    </w:rPr>
  </w:style>
  <w:style w:type="paragraph" w:customStyle="1" w:styleId="font-text1">
    <w:name w:val="font-text1"/>
    <w:basedOn w:val="a"/>
    <w:pPr>
      <w:spacing w:before="100" w:beforeAutospacing="1" w:after="100" w:afterAutospacing="1"/>
    </w:pPr>
    <w:rPr>
      <w:color w:val="999999"/>
      <w:sz w:val="17"/>
      <w:szCs w:val="17"/>
    </w:rPr>
  </w:style>
  <w:style w:type="paragraph" w:customStyle="1" w:styleId="font-text2">
    <w:name w:val="font-text2"/>
    <w:basedOn w:val="a"/>
    <w:pPr>
      <w:spacing w:before="100" w:beforeAutospacing="1" w:after="100" w:afterAutospacing="1"/>
    </w:pPr>
    <w:rPr>
      <w:color w:val="666666"/>
      <w:sz w:val="17"/>
      <w:szCs w:val="17"/>
    </w:rPr>
  </w:style>
  <w:style w:type="paragraph" w:customStyle="1" w:styleId="font-h1">
    <w:name w:val="font-h1"/>
    <w:basedOn w:val="a"/>
    <w:pPr>
      <w:spacing w:before="100" w:beforeAutospacing="1" w:after="100" w:afterAutospacing="1"/>
    </w:pPr>
    <w:rPr>
      <w:b/>
      <w:bCs/>
      <w:color w:val="EF7F00"/>
      <w:sz w:val="22"/>
      <w:szCs w:val="22"/>
    </w:rPr>
  </w:style>
  <w:style w:type="paragraph" w:customStyle="1" w:styleId="font-h2">
    <w:name w:val="font-h2"/>
    <w:basedOn w:val="a"/>
    <w:pPr>
      <w:spacing w:before="100" w:beforeAutospacing="1" w:after="100" w:afterAutospacing="1"/>
    </w:pPr>
    <w:rPr>
      <w:color w:val="EF7F00"/>
      <w:sz w:val="19"/>
      <w:szCs w:val="19"/>
    </w:rPr>
  </w:style>
  <w:style w:type="paragraph" w:customStyle="1" w:styleId="font-h3">
    <w:name w:val="font-h3"/>
    <w:basedOn w:val="a"/>
    <w:pPr>
      <w:spacing w:before="100" w:beforeAutospacing="1" w:after="100" w:afterAutospacing="1"/>
    </w:pPr>
    <w:rPr>
      <w:color w:val="EF7F00"/>
      <w:sz w:val="17"/>
      <w:szCs w:val="17"/>
    </w:rPr>
  </w:style>
  <w:style w:type="paragraph" w:customStyle="1" w:styleId="input-search">
    <w:name w:val="input-search"/>
    <w:basedOn w:val="a"/>
    <w:pPr>
      <w:shd w:val="clear" w:color="auto" w:fill="FFFFFF"/>
      <w:spacing w:before="100" w:beforeAutospacing="1" w:after="100" w:afterAutospacing="1" w:line="360" w:lineRule="atLeast"/>
    </w:pPr>
    <w:rPr>
      <w:color w:val="999999"/>
    </w:rPr>
  </w:style>
  <w:style w:type="paragraph" w:customStyle="1" w:styleId="submit-search">
    <w:name w:val="submit-search"/>
    <w:basedOn w:val="a"/>
    <w:pPr>
      <w:spacing w:before="100" w:beforeAutospacing="1" w:after="100" w:afterAutospacing="1"/>
      <w:ind w:left="-216"/>
    </w:pPr>
    <w:rPr>
      <w:color w:val="FFFFFF"/>
    </w:rPr>
  </w:style>
  <w:style w:type="paragraph" w:customStyle="1" w:styleId="icon-search">
    <w:name w:val="icon-search"/>
    <w:basedOn w:val="a"/>
    <w:pPr>
      <w:shd w:val="clear" w:color="auto" w:fill="FFFFFF"/>
      <w:spacing w:before="100" w:beforeAutospacing="1" w:after="100" w:afterAutospacing="1"/>
    </w:pPr>
  </w:style>
  <w:style w:type="paragraph" w:customStyle="1" w:styleId="icon-ji1">
    <w:name w:val="icon-ji1"/>
    <w:basedOn w:val="a"/>
    <w:pPr>
      <w:spacing w:before="120" w:after="60"/>
    </w:pPr>
  </w:style>
  <w:style w:type="paragraph" w:customStyle="1" w:styleId="icon-ji2">
    <w:name w:val="icon-ji2"/>
    <w:basedOn w:val="a"/>
    <w:pPr>
      <w:spacing w:before="120" w:after="60"/>
    </w:pPr>
  </w:style>
  <w:style w:type="paragraph" w:customStyle="1" w:styleId="icon-ji3">
    <w:name w:val="icon-ji3"/>
    <w:basedOn w:val="a"/>
    <w:pPr>
      <w:spacing w:before="120" w:after="60"/>
    </w:pPr>
  </w:style>
  <w:style w:type="paragraph" w:customStyle="1" w:styleId="icon-ji4">
    <w:name w:val="icon-ji4"/>
    <w:basedOn w:val="a"/>
    <w:pPr>
      <w:spacing w:before="120" w:after="60"/>
    </w:pPr>
  </w:style>
  <w:style w:type="paragraph" w:customStyle="1" w:styleId="icon-ji5">
    <w:name w:val="icon-ji5"/>
    <w:basedOn w:val="a"/>
    <w:pPr>
      <w:spacing w:before="120" w:after="60"/>
    </w:pPr>
  </w:style>
  <w:style w:type="paragraph" w:customStyle="1" w:styleId="icon-ji6">
    <w:name w:val="icon-ji6"/>
    <w:basedOn w:val="a"/>
    <w:pPr>
      <w:spacing w:before="100" w:beforeAutospacing="1" w:after="100" w:afterAutospacing="1"/>
    </w:pPr>
  </w:style>
  <w:style w:type="paragraph" w:customStyle="1" w:styleId="icon-gk1">
    <w:name w:val="icon-gk1"/>
    <w:basedOn w:val="a"/>
    <w:pPr>
      <w:spacing w:before="144" w:after="100" w:afterAutospacing="1"/>
    </w:pPr>
  </w:style>
  <w:style w:type="paragraph" w:customStyle="1" w:styleId="icon-gk2">
    <w:name w:val="icon-gk2"/>
    <w:basedOn w:val="a"/>
    <w:pPr>
      <w:spacing w:before="144" w:after="100" w:afterAutospacing="1"/>
    </w:pPr>
  </w:style>
  <w:style w:type="paragraph" w:customStyle="1" w:styleId="icon-gk3">
    <w:name w:val="icon-gk3"/>
    <w:basedOn w:val="a"/>
    <w:pPr>
      <w:spacing w:before="144" w:after="100" w:afterAutospacing="1"/>
    </w:pPr>
  </w:style>
  <w:style w:type="paragraph" w:customStyle="1" w:styleId="icon-gk4">
    <w:name w:val="icon-gk4"/>
    <w:basedOn w:val="a"/>
    <w:pPr>
      <w:spacing w:before="144" w:after="100" w:afterAutospacing="1"/>
    </w:pPr>
  </w:style>
  <w:style w:type="paragraph" w:customStyle="1" w:styleId="icon-gk5">
    <w:name w:val="icon-gk5"/>
    <w:basedOn w:val="a"/>
    <w:pPr>
      <w:spacing w:before="144" w:after="100" w:afterAutospacing="1"/>
    </w:pPr>
  </w:style>
  <w:style w:type="paragraph" w:customStyle="1" w:styleId="icon-gk6">
    <w:name w:val="icon-gk6"/>
    <w:basedOn w:val="a"/>
    <w:pPr>
      <w:spacing w:before="144" w:after="100" w:afterAutospacing="1"/>
    </w:pPr>
  </w:style>
  <w:style w:type="paragraph" w:customStyle="1" w:styleId="icon-app">
    <w:name w:val="icon-app"/>
    <w:basedOn w:val="a"/>
    <w:pPr>
      <w:spacing w:before="96" w:after="96"/>
      <w:ind w:left="168" w:right="168"/>
    </w:pPr>
  </w:style>
  <w:style w:type="paragraph" w:customStyle="1" w:styleId="icon-sina">
    <w:name w:val="icon-sina"/>
    <w:basedOn w:val="a"/>
    <w:pPr>
      <w:spacing w:before="120" w:after="120"/>
      <w:ind w:left="84" w:right="84"/>
    </w:pPr>
  </w:style>
  <w:style w:type="paragraph" w:customStyle="1" w:styleId="icon-wechat">
    <w:name w:val="icon-wechat"/>
    <w:basedOn w:val="a"/>
    <w:pPr>
      <w:spacing w:before="132" w:after="132"/>
      <w:ind w:left="96" w:right="96"/>
    </w:pPr>
  </w:style>
  <w:style w:type="paragraph" w:customStyle="1" w:styleId="icon-backtop">
    <w:name w:val="icon-backtop"/>
    <w:basedOn w:val="a"/>
    <w:pPr>
      <w:spacing w:before="144" w:after="144"/>
      <w:ind w:left="120" w:right="120"/>
    </w:pPr>
  </w:style>
  <w:style w:type="paragraph" w:customStyle="1" w:styleId="icon-fw1">
    <w:name w:val="icon-fw1"/>
    <w:basedOn w:val="a"/>
    <w:pPr>
      <w:spacing w:before="228" w:after="100" w:afterAutospacing="1"/>
    </w:pPr>
  </w:style>
  <w:style w:type="paragraph" w:customStyle="1" w:styleId="icon-fw2">
    <w:name w:val="icon-fw2"/>
    <w:basedOn w:val="a"/>
    <w:pPr>
      <w:spacing w:before="228" w:after="100" w:afterAutospacing="1"/>
    </w:pPr>
  </w:style>
  <w:style w:type="paragraph" w:customStyle="1" w:styleId="icon-fw3">
    <w:name w:val="icon-fw3"/>
    <w:basedOn w:val="a"/>
    <w:pPr>
      <w:spacing w:before="288" w:after="100" w:afterAutospacing="1"/>
    </w:pPr>
  </w:style>
  <w:style w:type="paragraph" w:customStyle="1" w:styleId="icon-fw4">
    <w:name w:val="icon-fw4"/>
    <w:basedOn w:val="a"/>
    <w:pPr>
      <w:spacing w:before="276" w:after="100" w:afterAutospacing="1"/>
    </w:pPr>
  </w:style>
  <w:style w:type="paragraph" w:customStyle="1" w:styleId="icon-fw5">
    <w:name w:val="icon-fw5"/>
    <w:basedOn w:val="a"/>
    <w:pPr>
      <w:spacing w:before="264" w:after="100" w:afterAutospacing="1"/>
    </w:pPr>
  </w:style>
  <w:style w:type="paragraph" w:customStyle="1" w:styleId="icon-fw6">
    <w:name w:val="icon-fw6"/>
    <w:basedOn w:val="a"/>
    <w:pPr>
      <w:spacing w:before="288" w:after="100" w:afterAutospacing="1"/>
    </w:pPr>
  </w:style>
  <w:style w:type="paragraph" w:customStyle="1" w:styleId="icon-cx1">
    <w:name w:val="icon-cx1"/>
    <w:basedOn w:val="a"/>
    <w:pPr>
      <w:spacing w:before="144" w:after="144"/>
    </w:pPr>
  </w:style>
  <w:style w:type="paragraph" w:customStyle="1" w:styleId="icon-cx2">
    <w:name w:val="icon-cx2"/>
    <w:basedOn w:val="a"/>
    <w:pPr>
      <w:spacing w:before="120" w:after="120"/>
    </w:pPr>
  </w:style>
  <w:style w:type="paragraph" w:customStyle="1" w:styleId="icon-cx3">
    <w:name w:val="icon-cx3"/>
    <w:basedOn w:val="a"/>
    <w:pPr>
      <w:spacing w:before="156" w:after="12"/>
    </w:pPr>
  </w:style>
  <w:style w:type="paragraph" w:customStyle="1" w:styleId="icon-nav1">
    <w:name w:val="icon-nav1"/>
    <w:basedOn w:val="a"/>
    <w:pPr>
      <w:spacing w:before="100" w:beforeAutospacing="1" w:after="100" w:afterAutospacing="1"/>
      <w:ind w:right="192"/>
    </w:pPr>
  </w:style>
  <w:style w:type="paragraph" w:customStyle="1" w:styleId="icon-nav2">
    <w:name w:val="icon-nav2"/>
    <w:basedOn w:val="a"/>
    <w:pPr>
      <w:spacing w:before="100" w:beforeAutospacing="1" w:after="100" w:afterAutospacing="1"/>
      <w:ind w:right="192"/>
    </w:pPr>
  </w:style>
  <w:style w:type="paragraph" w:customStyle="1" w:styleId="icon-nav3">
    <w:name w:val="icon-nav3"/>
    <w:basedOn w:val="a"/>
    <w:pPr>
      <w:spacing w:before="100" w:beforeAutospacing="1" w:after="100" w:afterAutospacing="1"/>
      <w:ind w:right="192"/>
    </w:pPr>
  </w:style>
  <w:style w:type="paragraph" w:customStyle="1" w:styleId="icon-nav4">
    <w:name w:val="icon-nav4"/>
    <w:basedOn w:val="a"/>
    <w:pPr>
      <w:spacing w:before="100" w:beforeAutospacing="1" w:after="100" w:afterAutospacing="1"/>
      <w:ind w:right="192"/>
    </w:pPr>
  </w:style>
  <w:style w:type="paragraph" w:customStyle="1" w:styleId="icon-nav5">
    <w:name w:val="icon-nav5"/>
    <w:basedOn w:val="a"/>
    <w:pPr>
      <w:spacing w:before="100" w:beforeAutospacing="1" w:after="100" w:afterAutospacing="1"/>
      <w:ind w:right="192"/>
    </w:pPr>
  </w:style>
  <w:style w:type="paragraph" w:customStyle="1" w:styleId="icon-nav6">
    <w:name w:val="icon-nav6"/>
    <w:basedOn w:val="a"/>
    <w:pPr>
      <w:spacing w:before="100" w:beforeAutospacing="1" w:after="100" w:afterAutospacing="1"/>
      <w:ind w:right="192"/>
    </w:pPr>
  </w:style>
  <w:style w:type="paragraph" w:customStyle="1" w:styleId="back-top">
    <w:name w:val="back-top"/>
    <w:basedOn w:val="a"/>
    <w:pPr>
      <w:spacing w:before="100" w:beforeAutospacing="1" w:after="100" w:afterAutospacing="1"/>
      <w:ind w:left="6480"/>
    </w:pPr>
  </w:style>
  <w:style w:type="paragraph" w:customStyle="1" w:styleId="header">
    <w:name w:val="header"/>
    <w:basedOn w:val="a"/>
    <w:pPr>
      <w:spacing w:before="100" w:beforeAutospacing="1" w:after="100" w:afterAutospacing="1"/>
    </w:pPr>
  </w:style>
  <w:style w:type="paragraph" w:customStyle="1" w:styleId="logo">
    <w:name w:val="logo"/>
    <w:basedOn w:val="a"/>
    <w:pPr>
      <w:ind w:left="600"/>
    </w:pPr>
  </w:style>
  <w:style w:type="paragraph" w:customStyle="1" w:styleId="weather">
    <w:name w:val="weather"/>
    <w:basedOn w:val="a"/>
    <w:pPr>
      <w:spacing w:before="204" w:after="100" w:afterAutospacing="1"/>
      <w:ind w:left="480"/>
    </w:pPr>
  </w:style>
  <w:style w:type="paragraph" w:customStyle="1" w:styleId="weather-dq">
    <w:name w:val="weather-dq"/>
    <w:basedOn w:val="a"/>
    <w:pPr>
      <w:spacing w:before="100" w:beforeAutospacing="1" w:after="100" w:afterAutospacing="1" w:line="480" w:lineRule="atLeast"/>
    </w:pPr>
    <w:rPr>
      <w:b/>
      <w:bCs/>
      <w:color w:val="0168B7"/>
      <w:sz w:val="17"/>
      <w:szCs w:val="17"/>
    </w:rPr>
  </w:style>
  <w:style w:type="paragraph" w:customStyle="1" w:styleId="weather-img">
    <w:name w:val="weather-img"/>
    <w:basedOn w:val="a"/>
    <w:pPr>
      <w:ind w:left="60" w:right="60"/>
    </w:pPr>
  </w:style>
  <w:style w:type="paragraph" w:customStyle="1" w:styleId="weather-text">
    <w:name w:val="weather-text"/>
    <w:basedOn w:val="a"/>
    <w:pPr>
      <w:spacing w:before="100" w:beforeAutospacing="1" w:after="100" w:afterAutospacing="1"/>
    </w:pPr>
  </w:style>
  <w:style w:type="paragraph" w:customStyle="1" w:styleId="weather-time">
    <w:name w:val="weather-time"/>
    <w:basedOn w:val="a"/>
    <w:pPr>
      <w:spacing w:before="36" w:after="100" w:afterAutospacing="1" w:line="456" w:lineRule="atLeast"/>
      <w:jc w:val="center"/>
    </w:pPr>
    <w:rPr>
      <w:b/>
      <w:bCs/>
      <w:color w:val="0168B7"/>
      <w:sz w:val="19"/>
      <w:szCs w:val="19"/>
    </w:rPr>
  </w:style>
  <w:style w:type="paragraph" w:customStyle="1" w:styleId="weather-box">
    <w:name w:val="weather-box"/>
    <w:basedOn w:val="a"/>
    <w:pPr>
      <w:spacing w:before="100" w:beforeAutospacing="1" w:after="100" w:afterAutospacing="1"/>
    </w:pPr>
  </w:style>
  <w:style w:type="paragraph" w:customStyle="1" w:styleId="search-box">
    <w:name w:val="search-box"/>
    <w:basedOn w:val="a"/>
    <w:pPr>
      <w:spacing w:before="72" w:after="100" w:afterAutospacing="1"/>
    </w:pPr>
  </w:style>
  <w:style w:type="paragraph" w:customStyle="1" w:styleId="nav2">
    <w:name w:val="nav2"/>
    <w:basedOn w:val="a"/>
    <w:pPr>
      <w:spacing w:before="100" w:beforeAutospacing="1" w:after="100" w:afterAutospacing="1"/>
    </w:pPr>
  </w:style>
  <w:style w:type="paragraph" w:customStyle="1" w:styleId="lis1">
    <w:name w:val="lis1"/>
    <w:basedOn w:val="a"/>
    <w:pPr>
      <w:spacing w:before="100" w:beforeAutospacing="1" w:after="100" w:afterAutospacing="1"/>
    </w:pPr>
  </w:style>
  <w:style w:type="paragraph" w:customStyle="1" w:styleId="lis2">
    <w:name w:val="lis2"/>
    <w:basedOn w:val="a"/>
    <w:pPr>
      <w:spacing w:before="100" w:beforeAutospacing="1" w:after="100" w:afterAutospacing="1"/>
    </w:pPr>
  </w:style>
  <w:style w:type="paragraph" w:customStyle="1" w:styleId="lis3">
    <w:name w:val="lis3"/>
    <w:basedOn w:val="a"/>
    <w:pPr>
      <w:spacing w:before="100" w:beforeAutospacing="1" w:after="100" w:afterAutospacing="1"/>
    </w:pPr>
  </w:style>
  <w:style w:type="paragraph" w:customStyle="1" w:styleId="lis4">
    <w:name w:val="lis4"/>
    <w:basedOn w:val="a"/>
    <w:pPr>
      <w:spacing w:before="100" w:beforeAutospacing="1" w:after="100" w:afterAutospacing="1"/>
    </w:pPr>
  </w:style>
  <w:style w:type="paragraph" w:customStyle="1" w:styleId="lis5">
    <w:name w:val="lis5"/>
    <w:basedOn w:val="a"/>
    <w:pPr>
      <w:spacing w:before="100" w:beforeAutospacing="1" w:after="100" w:afterAutospacing="1"/>
    </w:pPr>
  </w:style>
  <w:style w:type="paragraph" w:customStyle="1" w:styleId="lis6">
    <w:name w:val="lis6"/>
    <w:basedOn w:val="a"/>
    <w:pPr>
      <w:spacing w:before="100" w:beforeAutospacing="1" w:after="100" w:afterAutospacing="1"/>
    </w:pPr>
  </w:style>
  <w:style w:type="paragraph" w:customStyle="1" w:styleId="main">
    <w:name w:val="main"/>
    <w:basedOn w:val="a"/>
    <w:pPr>
      <w:spacing w:before="100" w:beforeAutospacing="1" w:after="100" w:afterAutospacing="1"/>
    </w:pPr>
  </w:style>
  <w:style w:type="paragraph" w:customStyle="1" w:styleId="i-tab">
    <w:name w:val="i-tab"/>
    <w:basedOn w:val="a"/>
    <w:pPr>
      <w:pBdr>
        <w:top w:val="single" w:sz="12" w:space="0" w:color="0168B7"/>
      </w:pBdr>
      <w:shd w:val="clear" w:color="auto" w:fill="FFFFFF"/>
      <w:spacing w:before="100" w:beforeAutospacing="1" w:after="240"/>
    </w:pPr>
  </w:style>
  <w:style w:type="paragraph" w:customStyle="1" w:styleId="i-tab-list">
    <w:name w:val="i-tab-list"/>
    <w:basedOn w:val="a"/>
    <w:pPr>
      <w:spacing w:before="100" w:beforeAutospacing="1" w:after="100" w:afterAutospacing="1"/>
    </w:pPr>
  </w:style>
  <w:style w:type="paragraph" w:customStyle="1" w:styleId="tab-box">
    <w:name w:val="tab-box"/>
    <w:basedOn w:val="a"/>
    <w:pPr>
      <w:pBdr>
        <w:left w:val="single" w:sz="4" w:space="0" w:color="0168B7"/>
        <w:bottom w:val="single" w:sz="4" w:space="0" w:color="0168B7"/>
        <w:right w:val="single" w:sz="4" w:space="0" w:color="0168B7"/>
      </w:pBdr>
      <w:shd w:val="clear" w:color="auto" w:fill="FFFFFF"/>
      <w:spacing w:before="100" w:beforeAutospacing="1" w:after="100" w:afterAutospacing="1"/>
    </w:pPr>
  </w:style>
  <w:style w:type="paragraph" w:customStyle="1" w:styleId="tab-box-b">
    <w:name w:val="tab-box-b"/>
    <w:basedOn w:val="a"/>
    <w:pPr>
      <w:spacing w:before="100" w:beforeAutospacing="1" w:after="100" w:afterAutospacing="1"/>
    </w:pPr>
  </w:style>
  <w:style w:type="paragraph" w:customStyle="1" w:styleId="con-l">
    <w:name w:val="con-l"/>
    <w:basedOn w:val="a"/>
    <w:pPr>
      <w:spacing w:before="100" w:beforeAutospacing="1" w:after="100" w:afterAutospacing="1"/>
      <w:ind w:right="6024"/>
    </w:pPr>
  </w:style>
  <w:style w:type="paragraph" w:customStyle="1" w:styleId="con-r">
    <w:name w:val="con-r"/>
    <w:basedOn w:val="a"/>
    <w:pPr>
      <w:spacing w:before="100" w:beforeAutospacing="1" w:after="100" w:afterAutospacing="1"/>
      <w:ind w:left="6012"/>
    </w:pPr>
  </w:style>
  <w:style w:type="paragraph" w:customStyle="1" w:styleId="i-sld">
    <w:name w:val="i-sld"/>
    <w:basedOn w:val="a"/>
    <w:pPr>
      <w:spacing w:before="100" w:beforeAutospacing="1" w:after="100" w:afterAutospacing="1"/>
    </w:pPr>
  </w:style>
  <w:style w:type="paragraph" w:customStyle="1" w:styleId="sld-mask">
    <w:name w:val="sld-mask"/>
    <w:basedOn w:val="a"/>
    <w:pPr>
      <w:spacing w:before="100" w:beforeAutospacing="1" w:after="100" w:afterAutospacing="1"/>
    </w:pPr>
  </w:style>
  <w:style w:type="paragraph" w:customStyle="1" w:styleId="sld-p">
    <w:name w:val="sld-p"/>
    <w:basedOn w:val="a"/>
    <w:pPr>
      <w:spacing w:before="100" w:beforeAutospacing="1" w:after="100" w:afterAutospacing="1" w:line="516" w:lineRule="atLeast"/>
    </w:pPr>
    <w:rPr>
      <w:color w:val="FFFFFF"/>
      <w:sz w:val="19"/>
      <w:szCs w:val="19"/>
    </w:rPr>
  </w:style>
  <w:style w:type="paragraph" w:customStyle="1" w:styleId="sld-p2">
    <w:name w:val="sld-p2"/>
    <w:basedOn w:val="a"/>
    <w:pPr>
      <w:spacing w:before="100" w:beforeAutospacing="1" w:after="100" w:afterAutospacing="1" w:line="516" w:lineRule="atLeast"/>
    </w:pPr>
    <w:rPr>
      <w:color w:val="FFFFFF"/>
      <w:sz w:val="17"/>
      <w:szCs w:val="17"/>
    </w:rPr>
  </w:style>
  <w:style w:type="paragraph" w:customStyle="1" w:styleId="sld-p3">
    <w:name w:val="sld-p3"/>
    <w:basedOn w:val="a"/>
    <w:pPr>
      <w:spacing w:before="100" w:beforeAutospacing="1" w:after="100" w:afterAutospacing="1" w:line="300" w:lineRule="atLeast"/>
    </w:pPr>
    <w:rPr>
      <w:color w:val="FFFFFF"/>
      <w:sz w:val="17"/>
      <w:szCs w:val="17"/>
    </w:rPr>
  </w:style>
  <w:style w:type="paragraph" w:customStyle="1" w:styleId="i-ul">
    <w:name w:val="i-ul"/>
    <w:basedOn w:val="a"/>
    <w:pPr>
      <w:spacing w:before="100" w:beforeAutospacing="1" w:after="100" w:afterAutospacing="1"/>
    </w:pPr>
  </w:style>
  <w:style w:type="paragraph" w:customStyle="1" w:styleId="i-ul-h1">
    <w:name w:val="i-ul-h1"/>
    <w:basedOn w:val="a"/>
    <w:pPr>
      <w:pBdr>
        <w:bottom w:val="single" w:sz="4" w:space="0" w:color="F1F1F1"/>
      </w:pBdr>
      <w:spacing w:before="100" w:beforeAutospacing="1" w:after="100" w:afterAutospacing="1" w:line="480" w:lineRule="atLeast"/>
    </w:pPr>
    <w:rPr>
      <w:b/>
      <w:bCs/>
      <w:color w:val="0168B7"/>
    </w:rPr>
  </w:style>
  <w:style w:type="paragraph" w:customStyle="1" w:styleId="i-list">
    <w:name w:val="i-list"/>
    <w:basedOn w:val="a"/>
    <w:pPr>
      <w:spacing w:before="100" w:beforeAutospacing="1" w:after="100" w:afterAutospacing="1"/>
    </w:pPr>
  </w:style>
  <w:style w:type="paragraph" w:customStyle="1" w:styleId="tab-box-pad">
    <w:name w:val="tab-box-pad"/>
    <w:basedOn w:val="a"/>
    <w:pPr>
      <w:spacing w:before="100" w:beforeAutospacing="1" w:after="100" w:afterAutospacing="1"/>
    </w:pPr>
  </w:style>
  <w:style w:type="paragraph" w:customStyle="1" w:styleId="tab-box-tab">
    <w:name w:val="tab-box-tab"/>
    <w:basedOn w:val="a"/>
    <w:pPr>
      <w:spacing w:before="100" w:beforeAutospacing="1" w:after="100" w:afterAutospacing="1"/>
      <w:ind w:left="420"/>
    </w:pPr>
  </w:style>
  <w:style w:type="paragraph" w:customStyle="1" w:styleId="tab-box-tab-ult">
    <w:name w:val="tab-box-tab-ult"/>
    <w:basedOn w:val="a"/>
    <w:pPr>
      <w:spacing w:before="100" w:beforeAutospacing="1" w:after="100" w:afterAutospacing="1"/>
    </w:pPr>
  </w:style>
  <w:style w:type="paragraph" w:customStyle="1" w:styleId="tab-box-tab-ulb">
    <w:name w:val="tab-box-tab-ulb"/>
    <w:basedOn w:val="a"/>
    <w:pPr>
      <w:spacing w:before="100" w:beforeAutospacing="1" w:after="100" w:afterAutospacing="1"/>
    </w:pPr>
  </w:style>
  <w:style w:type="paragraph" w:customStyle="1" w:styleId="tab-box-a">
    <w:name w:val="tab-box-a"/>
    <w:basedOn w:val="a"/>
    <w:pPr>
      <w:spacing w:before="240"/>
      <w:ind w:left="420"/>
    </w:pPr>
  </w:style>
  <w:style w:type="paragraph" w:customStyle="1" w:styleId="tab-box-bann">
    <w:name w:val="tab-box-bann"/>
    <w:basedOn w:val="a"/>
    <w:pPr>
      <w:pBdr>
        <w:top w:val="single" w:sz="4" w:space="0" w:color="36A800"/>
        <w:left w:val="single" w:sz="4" w:space="0" w:color="36A800"/>
        <w:bottom w:val="single" w:sz="4" w:space="0" w:color="36A800"/>
        <w:right w:val="single" w:sz="4" w:space="0" w:color="36A800"/>
      </w:pBdr>
      <w:spacing w:before="240"/>
      <w:ind w:left="72" w:right="72"/>
    </w:pPr>
  </w:style>
  <w:style w:type="paragraph" w:customStyle="1" w:styleId="i-tab2">
    <w:name w:val="i-tab2"/>
    <w:basedOn w:val="a"/>
    <w:pPr>
      <w:shd w:val="clear" w:color="auto" w:fill="FFFFFF"/>
      <w:spacing w:before="100" w:beforeAutospacing="1" w:after="100" w:afterAutospacing="1"/>
    </w:pPr>
  </w:style>
  <w:style w:type="paragraph" w:customStyle="1" w:styleId="i-tab2-list">
    <w:name w:val="i-tab2-list"/>
    <w:basedOn w:val="a"/>
    <w:pPr>
      <w:spacing w:before="100" w:beforeAutospacing="1" w:after="100" w:afterAutospacing="1"/>
    </w:pPr>
  </w:style>
  <w:style w:type="paragraph" w:customStyle="1" w:styleId="tab-box-pad2">
    <w:name w:val="tab-box-pad2"/>
    <w:basedOn w:val="a"/>
    <w:pPr>
      <w:spacing w:before="100" w:beforeAutospacing="1" w:after="100" w:afterAutospacing="1"/>
    </w:pPr>
  </w:style>
  <w:style w:type="paragraph" w:customStyle="1" w:styleId="tab-box-h1">
    <w:name w:val="tab-box-h1"/>
    <w:basedOn w:val="a"/>
    <w:pPr>
      <w:spacing w:before="100" w:beforeAutospacing="1" w:after="100" w:afterAutospacing="1"/>
    </w:pPr>
    <w:rPr>
      <w:color w:val="CB0201"/>
      <w:sz w:val="19"/>
      <w:szCs w:val="19"/>
    </w:rPr>
  </w:style>
  <w:style w:type="paragraph" w:customStyle="1" w:styleId="tab-box-a2">
    <w:name w:val="tab-box-a2"/>
    <w:basedOn w:val="a"/>
    <w:pPr>
      <w:spacing w:before="240"/>
      <w:ind w:left="240"/>
    </w:pPr>
  </w:style>
  <w:style w:type="paragraph" w:customStyle="1" w:styleId="ji1">
    <w:name w:val="ji1"/>
    <w:basedOn w:val="a"/>
    <w:pPr>
      <w:shd w:val="clear" w:color="auto" w:fill="DC6984"/>
      <w:spacing w:before="100" w:beforeAutospacing="1" w:after="100" w:afterAutospacing="1"/>
    </w:pPr>
  </w:style>
  <w:style w:type="paragraph" w:customStyle="1" w:styleId="ji2">
    <w:name w:val="ji2"/>
    <w:basedOn w:val="a"/>
    <w:pPr>
      <w:shd w:val="clear" w:color="auto" w:fill="E64505"/>
      <w:spacing w:before="100" w:beforeAutospacing="1" w:after="100" w:afterAutospacing="1"/>
    </w:pPr>
  </w:style>
  <w:style w:type="paragraph" w:customStyle="1" w:styleId="ji3">
    <w:name w:val="ji3"/>
    <w:basedOn w:val="a"/>
    <w:pPr>
      <w:shd w:val="clear" w:color="auto" w:fill="FCCA6A"/>
      <w:spacing w:before="100" w:beforeAutospacing="1" w:after="100" w:afterAutospacing="1"/>
    </w:pPr>
  </w:style>
  <w:style w:type="paragraph" w:customStyle="1" w:styleId="ji4">
    <w:name w:val="ji4"/>
    <w:basedOn w:val="a"/>
    <w:pPr>
      <w:shd w:val="clear" w:color="auto" w:fill="83C56A"/>
      <w:spacing w:before="100" w:beforeAutospacing="1" w:after="100" w:afterAutospacing="1"/>
    </w:pPr>
  </w:style>
  <w:style w:type="paragraph" w:customStyle="1" w:styleId="ji5">
    <w:name w:val="ji5"/>
    <w:basedOn w:val="a"/>
    <w:pPr>
      <w:shd w:val="clear" w:color="auto" w:fill="71C2C9"/>
      <w:spacing w:before="100" w:beforeAutospacing="1" w:after="100" w:afterAutospacing="1"/>
    </w:pPr>
  </w:style>
  <w:style w:type="paragraph" w:customStyle="1" w:styleId="i-tab3">
    <w:name w:val="i-tab3"/>
    <w:basedOn w:val="a"/>
    <w:pPr>
      <w:shd w:val="clear" w:color="auto" w:fill="FFFFFF"/>
      <w:spacing w:before="100" w:beforeAutospacing="1" w:after="100" w:afterAutospacing="1"/>
    </w:pPr>
  </w:style>
  <w:style w:type="paragraph" w:customStyle="1" w:styleId="i-tab3-list">
    <w:name w:val="i-tab3-list"/>
    <w:basedOn w:val="a"/>
    <w:pPr>
      <w:spacing w:before="100" w:beforeAutospacing="1" w:after="100" w:afterAutospacing="1"/>
    </w:pPr>
  </w:style>
  <w:style w:type="paragraph" w:customStyle="1" w:styleId="tab-box-pad3">
    <w:name w:val="tab-box-pad3"/>
    <w:basedOn w:val="a"/>
    <w:pPr>
      <w:spacing w:before="100" w:beforeAutospacing="1" w:after="100" w:afterAutospacing="1"/>
    </w:pPr>
  </w:style>
  <w:style w:type="paragraph" w:customStyle="1" w:styleId="i-tab4">
    <w:name w:val="i-tab4"/>
    <w:basedOn w:val="a"/>
    <w:pPr>
      <w:shd w:val="clear" w:color="auto" w:fill="FFFFFF"/>
      <w:spacing w:before="100" w:beforeAutospacing="1" w:after="100" w:afterAutospacing="1"/>
    </w:pPr>
  </w:style>
  <w:style w:type="paragraph" w:customStyle="1" w:styleId="i-tab4-list">
    <w:name w:val="i-tab4-list"/>
    <w:basedOn w:val="a"/>
    <w:pPr>
      <w:spacing w:before="100" w:beforeAutospacing="1" w:after="100" w:afterAutospacing="1"/>
    </w:pPr>
  </w:style>
  <w:style w:type="paragraph" w:customStyle="1" w:styleId="box4-right">
    <w:name w:val="box4-right"/>
    <w:basedOn w:val="a"/>
    <w:pPr>
      <w:spacing w:before="100" w:beforeAutospacing="1" w:after="100" w:afterAutospacing="1"/>
      <w:ind w:left="264"/>
    </w:pPr>
  </w:style>
  <w:style w:type="paragraph" w:customStyle="1" w:styleId="gk1">
    <w:name w:val="gk1"/>
    <w:basedOn w:val="a"/>
    <w:pPr>
      <w:shd w:val="clear" w:color="auto" w:fill="E64505"/>
      <w:spacing w:before="100" w:beforeAutospacing="1" w:after="100" w:afterAutospacing="1"/>
    </w:pPr>
  </w:style>
  <w:style w:type="paragraph" w:customStyle="1" w:styleId="gk2">
    <w:name w:val="gk2"/>
    <w:basedOn w:val="a"/>
    <w:pPr>
      <w:shd w:val="clear" w:color="auto" w:fill="C50532"/>
      <w:spacing w:before="100" w:beforeAutospacing="1" w:after="100" w:afterAutospacing="1"/>
    </w:pPr>
  </w:style>
  <w:style w:type="paragraph" w:customStyle="1" w:styleId="gk3">
    <w:name w:val="gk3"/>
    <w:basedOn w:val="a"/>
    <w:pPr>
      <w:shd w:val="clear" w:color="auto" w:fill="FAA706"/>
      <w:spacing w:before="100" w:beforeAutospacing="1" w:after="100" w:afterAutospacing="1"/>
    </w:pPr>
  </w:style>
  <w:style w:type="paragraph" w:customStyle="1" w:styleId="gk4">
    <w:name w:val="gk4"/>
    <w:basedOn w:val="a"/>
    <w:pPr>
      <w:shd w:val="clear" w:color="auto" w:fill="1399A5"/>
      <w:spacing w:before="100" w:beforeAutospacing="1" w:after="100" w:afterAutospacing="1"/>
    </w:pPr>
  </w:style>
  <w:style w:type="paragraph" w:customStyle="1" w:styleId="gk5">
    <w:name w:val="gk5"/>
    <w:basedOn w:val="a"/>
    <w:pPr>
      <w:shd w:val="clear" w:color="auto" w:fill="76078E"/>
      <w:spacing w:before="100" w:beforeAutospacing="1" w:after="100" w:afterAutospacing="1"/>
    </w:pPr>
  </w:style>
  <w:style w:type="paragraph" w:customStyle="1" w:styleId="gk6">
    <w:name w:val="gk6"/>
    <w:basedOn w:val="a"/>
    <w:pPr>
      <w:shd w:val="clear" w:color="auto" w:fill="72A2EE"/>
      <w:spacing w:before="100" w:beforeAutospacing="1" w:after="100" w:afterAutospacing="1"/>
    </w:pPr>
  </w:style>
  <w:style w:type="paragraph" w:customStyle="1" w:styleId="tab-box-pad4">
    <w:name w:val="tab-box-pad4"/>
    <w:basedOn w:val="a"/>
    <w:pPr>
      <w:spacing w:before="100" w:beforeAutospacing="1" w:after="100" w:afterAutospacing="1"/>
    </w:pPr>
  </w:style>
  <w:style w:type="paragraph" w:customStyle="1" w:styleId="i-tab5">
    <w:name w:val="i-tab5"/>
    <w:basedOn w:val="a"/>
    <w:pPr>
      <w:shd w:val="clear" w:color="auto" w:fill="FFFFFF"/>
      <w:spacing w:before="100" w:beforeAutospacing="1" w:after="100" w:afterAutospacing="1"/>
    </w:pPr>
  </w:style>
  <w:style w:type="paragraph" w:customStyle="1" w:styleId="i-tab5-list">
    <w:name w:val="i-tab5-list"/>
    <w:basedOn w:val="a"/>
    <w:pPr>
      <w:spacing w:before="100" w:beforeAutospacing="1" w:after="100" w:afterAutospacing="1"/>
    </w:pPr>
  </w:style>
  <w:style w:type="paragraph" w:customStyle="1" w:styleId="tab-box-ul5">
    <w:name w:val="tab-box-ul5"/>
    <w:basedOn w:val="a"/>
    <w:pPr>
      <w:pBdr>
        <w:top w:val="single" w:sz="4" w:space="0" w:color="6FBAFE"/>
        <w:left w:val="single" w:sz="4" w:space="0" w:color="6FBAFE"/>
        <w:bottom w:val="single" w:sz="4" w:space="0" w:color="6FBAFE"/>
        <w:right w:val="single" w:sz="4" w:space="0" w:color="6FBAFE"/>
      </w:pBdr>
      <w:spacing w:before="144" w:after="72"/>
    </w:pPr>
  </w:style>
  <w:style w:type="paragraph" w:customStyle="1" w:styleId="sj-ul">
    <w:name w:val="sj-ul"/>
    <w:basedOn w:val="a"/>
    <w:pPr>
      <w:spacing w:before="100" w:beforeAutospacing="1" w:after="100" w:afterAutospacing="1"/>
    </w:pPr>
  </w:style>
  <w:style w:type="paragraph" w:customStyle="1" w:styleId="middle">
    <w:name w:val="middle"/>
    <w:basedOn w:val="a"/>
    <w:pPr>
      <w:spacing w:before="100" w:beforeAutospacing="1" w:after="100" w:afterAutospacing="1"/>
      <w:jc w:val="center"/>
      <w:textAlignment w:val="center"/>
    </w:pPr>
  </w:style>
  <w:style w:type="paragraph" w:customStyle="1" w:styleId="tab-box-ul5-b">
    <w:name w:val="tab-box-ul5-b"/>
    <w:basedOn w:val="a"/>
    <w:pPr>
      <w:spacing w:before="100" w:beforeAutospacing="1" w:after="100" w:afterAutospacing="1"/>
    </w:pPr>
  </w:style>
  <w:style w:type="paragraph" w:customStyle="1" w:styleId="i-tab5-bbox">
    <w:name w:val="i-tab5-bbox"/>
    <w:basedOn w:val="a"/>
    <w:pPr>
      <w:spacing w:before="100" w:beforeAutospacing="1" w:after="100" w:afterAutospacing="1"/>
    </w:pPr>
  </w:style>
  <w:style w:type="paragraph" w:customStyle="1" w:styleId="i-tab5-bbox-ul2">
    <w:name w:val="i-tab5-bbox-ul2"/>
    <w:basedOn w:val="a"/>
    <w:pPr>
      <w:spacing w:before="100" w:beforeAutospacing="1" w:after="100" w:afterAutospacing="1"/>
    </w:pPr>
  </w:style>
  <w:style w:type="paragraph" w:customStyle="1" w:styleId="icon-sj1">
    <w:name w:val="icon-sj1"/>
    <w:basedOn w:val="a"/>
    <w:pPr>
      <w:spacing w:before="100" w:beforeAutospacing="1" w:after="100" w:afterAutospacing="1"/>
    </w:pPr>
  </w:style>
  <w:style w:type="paragraph" w:customStyle="1" w:styleId="icon-sj2">
    <w:name w:val="icon-sj2"/>
    <w:basedOn w:val="a"/>
    <w:pPr>
      <w:spacing w:before="100" w:beforeAutospacing="1" w:after="100" w:afterAutospacing="1"/>
    </w:pPr>
  </w:style>
  <w:style w:type="paragraph" w:customStyle="1" w:styleId="icon-sj3">
    <w:name w:val="icon-sj3"/>
    <w:basedOn w:val="a"/>
    <w:pPr>
      <w:spacing w:before="100" w:beforeAutospacing="1" w:after="100" w:afterAutospacing="1"/>
    </w:pPr>
  </w:style>
  <w:style w:type="paragraph" w:customStyle="1" w:styleId="icon-sj4">
    <w:name w:val="icon-sj4"/>
    <w:basedOn w:val="a"/>
    <w:pPr>
      <w:spacing w:before="100" w:beforeAutospacing="1" w:after="100" w:afterAutospacing="1"/>
    </w:pPr>
  </w:style>
  <w:style w:type="paragraph" w:customStyle="1" w:styleId="icon-sj5">
    <w:name w:val="icon-sj5"/>
    <w:basedOn w:val="a"/>
    <w:pPr>
      <w:spacing w:before="100" w:beforeAutospacing="1" w:after="100" w:afterAutospacing="1"/>
    </w:pPr>
  </w:style>
  <w:style w:type="paragraph" w:customStyle="1" w:styleId="icon-sj6">
    <w:name w:val="icon-sj6"/>
    <w:basedOn w:val="a"/>
    <w:pPr>
      <w:spacing w:before="100" w:beforeAutospacing="1" w:after="100" w:afterAutospacing="1"/>
    </w:pPr>
  </w:style>
  <w:style w:type="paragraph" w:customStyle="1" w:styleId="icon-sj7">
    <w:name w:val="icon-sj7"/>
    <w:basedOn w:val="a"/>
    <w:pPr>
      <w:spacing w:before="100" w:beforeAutospacing="1" w:after="100" w:afterAutospacing="1"/>
    </w:pPr>
  </w:style>
  <w:style w:type="paragraph" w:customStyle="1" w:styleId="icon-sj8">
    <w:name w:val="icon-sj8"/>
    <w:basedOn w:val="a"/>
    <w:pPr>
      <w:spacing w:before="100" w:beforeAutospacing="1" w:after="100" w:afterAutospacing="1"/>
    </w:pPr>
  </w:style>
  <w:style w:type="paragraph" w:customStyle="1" w:styleId="icon-sj9">
    <w:name w:val="icon-sj9"/>
    <w:basedOn w:val="a"/>
    <w:pPr>
      <w:spacing w:before="100" w:beforeAutospacing="1" w:after="100" w:afterAutospacing="1"/>
    </w:pPr>
  </w:style>
  <w:style w:type="paragraph" w:customStyle="1" w:styleId="icon-sj10">
    <w:name w:val="icon-sj10"/>
    <w:basedOn w:val="a"/>
    <w:pPr>
      <w:spacing w:before="100" w:beforeAutospacing="1" w:after="100" w:afterAutospacing="1"/>
    </w:pPr>
  </w:style>
  <w:style w:type="paragraph" w:customStyle="1" w:styleId="icon-sj-new1">
    <w:name w:val="icon-sj-new1"/>
    <w:basedOn w:val="a"/>
    <w:pPr>
      <w:spacing w:before="100" w:beforeAutospacing="1" w:after="100" w:afterAutospacing="1"/>
    </w:pPr>
  </w:style>
  <w:style w:type="paragraph" w:customStyle="1" w:styleId="icon-sj-new2">
    <w:name w:val="icon-sj-new2"/>
    <w:basedOn w:val="a"/>
    <w:pPr>
      <w:spacing w:before="100" w:beforeAutospacing="1" w:after="100" w:afterAutospacing="1"/>
    </w:pPr>
  </w:style>
  <w:style w:type="paragraph" w:customStyle="1" w:styleId="icon-sj-new3">
    <w:name w:val="icon-sj-new3"/>
    <w:basedOn w:val="a"/>
    <w:pPr>
      <w:spacing w:before="100" w:beforeAutospacing="1" w:after="100" w:afterAutospacing="1"/>
    </w:pPr>
  </w:style>
  <w:style w:type="paragraph" w:customStyle="1" w:styleId="icon-sj-new4">
    <w:name w:val="icon-sj-new4"/>
    <w:basedOn w:val="a"/>
    <w:pPr>
      <w:spacing w:before="100" w:beforeAutospacing="1" w:after="100" w:afterAutospacing="1"/>
    </w:pPr>
  </w:style>
  <w:style w:type="paragraph" w:customStyle="1" w:styleId="icon-sj-new5">
    <w:name w:val="icon-sj-new5"/>
    <w:basedOn w:val="a"/>
    <w:pPr>
      <w:spacing w:before="100" w:beforeAutospacing="1" w:after="100" w:afterAutospacing="1"/>
    </w:pPr>
  </w:style>
  <w:style w:type="paragraph" w:customStyle="1" w:styleId="icon-sj-new6">
    <w:name w:val="icon-sj-new6"/>
    <w:basedOn w:val="a"/>
    <w:pPr>
      <w:spacing w:before="100" w:beforeAutospacing="1" w:after="100" w:afterAutospacing="1"/>
    </w:pPr>
  </w:style>
  <w:style w:type="paragraph" w:customStyle="1" w:styleId="icon-sj-new7">
    <w:name w:val="icon-sj-new7"/>
    <w:basedOn w:val="a"/>
    <w:pPr>
      <w:spacing w:before="100" w:beforeAutospacing="1" w:after="100" w:afterAutospacing="1"/>
    </w:pPr>
  </w:style>
  <w:style w:type="paragraph" w:customStyle="1" w:styleId="icon-sj-new8">
    <w:name w:val="icon-sj-new8"/>
    <w:basedOn w:val="a"/>
    <w:pPr>
      <w:spacing w:before="100" w:beforeAutospacing="1" w:after="100" w:afterAutospacing="1"/>
    </w:pPr>
  </w:style>
  <w:style w:type="paragraph" w:customStyle="1" w:styleId="icon-sj-new9">
    <w:name w:val="icon-sj-new9"/>
    <w:basedOn w:val="a"/>
    <w:pPr>
      <w:spacing w:before="100" w:beforeAutospacing="1" w:after="100" w:afterAutospacing="1"/>
    </w:pPr>
  </w:style>
  <w:style w:type="paragraph" w:customStyle="1" w:styleId="icon-sj-new10">
    <w:name w:val="icon-sj-new10"/>
    <w:basedOn w:val="a"/>
    <w:pPr>
      <w:spacing w:before="100" w:beforeAutospacing="1" w:after="100" w:afterAutospacing="1"/>
    </w:pPr>
  </w:style>
  <w:style w:type="paragraph" w:customStyle="1" w:styleId="icon2-sj1">
    <w:name w:val="icon2-sj1"/>
    <w:basedOn w:val="a"/>
    <w:pPr>
      <w:spacing w:before="100" w:beforeAutospacing="1" w:after="100" w:afterAutospacing="1"/>
    </w:pPr>
  </w:style>
  <w:style w:type="paragraph" w:customStyle="1" w:styleId="icon2-sj2">
    <w:name w:val="icon2-sj2"/>
    <w:basedOn w:val="a"/>
    <w:pPr>
      <w:spacing w:before="100" w:beforeAutospacing="1" w:after="100" w:afterAutospacing="1"/>
    </w:pPr>
  </w:style>
  <w:style w:type="paragraph" w:customStyle="1" w:styleId="icon2-sj3">
    <w:name w:val="icon2-sj3"/>
    <w:basedOn w:val="a"/>
    <w:pPr>
      <w:spacing w:before="100" w:beforeAutospacing="1" w:after="100" w:afterAutospacing="1"/>
    </w:pPr>
  </w:style>
  <w:style w:type="paragraph" w:customStyle="1" w:styleId="icon2-sj4">
    <w:name w:val="icon2-sj4"/>
    <w:basedOn w:val="a"/>
    <w:pPr>
      <w:spacing w:before="100" w:beforeAutospacing="1" w:after="100" w:afterAutospacing="1"/>
    </w:pPr>
  </w:style>
  <w:style w:type="paragraph" w:customStyle="1" w:styleId="icon2-sj5">
    <w:name w:val="icon2-sj5"/>
    <w:basedOn w:val="a"/>
    <w:pPr>
      <w:spacing w:before="100" w:beforeAutospacing="1" w:after="100" w:afterAutospacing="1"/>
    </w:pPr>
  </w:style>
  <w:style w:type="paragraph" w:customStyle="1" w:styleId="icon2-sj6">
    <w:name w:val="icon2-sj6"/>
    <w:basedOn w:val="a"/>
    <w:pPr>
      <w:spacing w:before="100" w:beforeAutospacing="1" w:after="100" w:afterAutospacing="1"/>
    </w:pPr>
  </w:style>
  <w:style w:type="paragraph" w:customStyle="1" w:styleId="icon2-sj7">
    <w:name w:val="icon2-sj7"/>
    <w:basedOn w:val="a"/>
    <w:pPr>
      <w:spacing w:before="100" w:beforeAutospacing="1" w:after="100" w:afterAutospacing="1"/>
    </w:pPr>
  </w:style>
  <w:style w:type="paragraph" w:customStyle="1" w:styleId="icon2-sj8">
    <w:name w:val="icon2-sj8"/>
    <w:basedOn w:val="a"/>
    <w:pPr>
      <w:spacing w:before="100" w:beforeAutospacing="1" w:after="100" w:afterAutospacing="1"/>
    </w:pPr>
  </w:style>
  <w:style w:type="paragraph" w:customStyle="1" w:styleId="icon2-sj9">
    <w:name w:val="icon2-sj9"/>
    <w:basedOn w:val="a"/>
    <w:pPr>
      <w:spacing w:before="100" w:beforeAutospacing="1" w:after="100" w:afterAutospacing="1"/>
    </w:pPr>
  </w:style>
  <w:style w:type="paragraph" w:customStyle="1" w:styleId="icon2-sj10">
    <w:name w:val="icon2-sj10"/>
    <w:basedOn w:val="a"/>
    <w:pPr>
      <w:spacing w:before="100" w:beforeAutospacing="1" w:after="100" w:afterAutospacing="1"/>
    </w:pPr>
  </w:style>
  <w:style w:type="paragraph" w:customStyle="1" w:styleId="icon3-sj1">
    <w:name w:val="icon3-sj1"/>
    <w:basedOn w:val="a"/>
    <w:pPr>
      <w:spacing w:before="100" w:beforeAutospacing="1" w:after="100" w:afterAutospacing="1"/>
    </w:pPr>
  </w:style>
  <w:style w:type="paragraph" w:customStyle="1" w:styleId="icon3-sj2">
    <w:name w:val="icon3-sj2"/>
    <w:basedOn w:val="a"/>
    <w:pPr>
      <w:spacing w:before="100" w:beforeAutospacing="1" w:after="100" w:afterAutospacing="1"/>
    </w:pPr>
  </w:style>
  <w:style w:type="paragraph" w:customStyle="1" w:styleId="icon3-sj3">
    <w:name w:val="icon3-sj3"/>
    <w:basedOn w:val="a"/>
    <w:pPr>
      <w:spacing w:before="100" w:beforeAutospacing="1" w:after="100" w:afterAutospacing="1"/>
    </w:pPr>
  </w:style>
  <w:style w:type="paragraph" w:customStyle="1" w:styleId="icon3-sj4">
    <w:name w:val="icon3-sj4"/>
    <w:basedOn w:val="a"/>
    <w:pPr>
      <w:spacing w:before="100" w:beforeAutospacing="1" w:after="100" w:afterAutospacing="1"/>
    </w:pPr>
  </w:style>
  <w:style w:type="paragraph" w:customStyle="1" w:styleId="icon3-sj5">
    <w:name w:val="icon3-sj5"/>
    <w:basedOn w:val="a"/>
    <w:pPr>
      <w:spacing w:before="100" w:beforeAutospacing="1" w:after="100" w:afterAutospacing="1"/>
    </w:pPr>
  </w:style>
  <w:style w:type="paragraph" w:customStyle="1" w:styleId="icon3-sj6">
    <w:name w:val="icon3-sj6"/>
    <w:basedOn w:val="a"/>
    <w:pPr>
      <w:spacing w:before="100" w:beforeAutospacing="1" w:after="100" w:afterAutospacing="1"/>
    </w:pPr>
  </w:style>
  <w:style w:type="paragraph" w:customStyle="1" w:styleId="icon3-sj7">
    <w:name w:val="icon3-sj7"/>
    <w:basedOn w:val="a"/>
    <w:pPr>
      <w:spacing w:before="100" w:beforeAutospacing="1" w:after="100" w:afterAutospacing="1"/>
    </w:pPr>
  </w:style>
  <w:style w:type="paragraph" w:customStyle="1" w:styleId="icon3-sj8">
    <w:name w:val="icon3-sj8"/>
    <w:basedOn w:val="a"/>
    <w:pPr>
      <w:spacing w:before="100" w:beforeAutospacing="1" w:after="100" w:afterAutospacing="1"/>
    </w:pPr>
  </w:style>
  <w:style w:type="paragraph" w:customStyle="1" w:styleId="icon3-sj9">
    <w:name w:val="icon3-sj9"/>
    <w:basedOn w:val="a"/>
    <w:pPr>
      <w:spacing w:before="100" w:beforeAutospacing="1" w:after="100" w:afterAutospacing="1"/>
    </w:pPr>
  </w:style>
  <w:style w:type="paragraph" w:customStyle="1" w:styleId="icon3-sj10">
    <w:name w:val="icon3-sj10"/>
    <w:basedOn w:val="a"/>
    <w:pPr>
      <w:spacing w:before="100" w:beforeAutospacing="1" w:after="100" w:afterAutospacing="1"/>
    </w:pPr>
  </w:style>
  <w:style w:type="paragraph" w:customStyle="1" w:styleId="icon4-sj1">
    <w:name w:val="icon4-sj1"/>
    <w:basedOn w:val="a"/>
    <w:pPr>
      <w:spacing w:before="100" w:beforeAutospacing="1" w:after="100" w:afterAutospacing="1"/>
    </w:pPr>
  </w:style>
  <w:style w:type="paragraph" w:customStyle="1" w:styleId="icon4-sj2">
    <w:name w:val="icon4-sj2"/>
    <w:basedOn w:val="a"/>
    <w:pPr>
      <w:spacing w:before="100" w:beforeAutospacing="1" w:after="100" w:afterAutospacing="1"/>
    </w:pPr>
  </w:style>
  <w:style w:type="paragraph" w:customStyle="1" w:styleId="icon4-sj3">
    <w:name w:val="icon4-sj3"/>
    <w:basedOn w:val="a"/>
    <w:pPr>
      <w:spacing w:before="100" w:beforeAutospacing="1" w:after="100" w:afterAutospacing="1"/>
    </w:pPr>
  </w:style>
  <w:style w:type="paragraph" w:customStyle="1" w:styleId="icon4-sj4">
    <w:name w:val="icon4-sj4"/>
    <w:basedOn w:val="a"/>
    <w:pPr>
      <w:spacing w:before="100" w:beforeAutospacing="1" w:after="100" w:afterAutospacing="1"/>
    </w:pPr>
  </w:style>
  <w:style w:type="paragraph" w:customStyle="1" w:styleId="icon4-sj5">
    <w:name w:val="icon4-sj5"/>
    <w:basedOn w:val="a"/>
    <w:pPr>
      <w:spacing w:before="100" w:beforeAutospacing="1" w:after="100" w:afterAutospacing="1"/>
    </w:pPr>
  </w:style>
  <w:style w:type="paragraph" w:customStyle="1" w:styleId="icon4-sj6">
    <w:name w:val="icon4-sj6"/>
    <w:basedOn w:val="a"/>
    <w:pPr>
      <w:spacing w:before="100" w:beforeAutospacing="1" w:after="100" w:afterAutospacing="1"/>
    </w:pPr>
  </w:style>
  <w:style w:type="paragraph" w:customStyle="1" w:styleId="icon4-sj7">
    <w:name w:val="icon4-sj7"/>
    <w:basedOn w:val="a"/>
    <w:pPr>
      <w:spacing w:before="100" w:beforeAutospacing="1" w:after="100" w:afterAutospacing="1"/>
    </w:pPr>
  </w:style>
  <w:style w:type="paragraph" w:customStyle="1" w:styleId="icon4-sj8">
    <w:name w:val="icon4-sj8"/>
    <w:basedOn w:val="a"/>
    <w:pPr>
      <w:spacing w:before="100" w:beforeAutospacing="1" w:after="100" w:afterAutospacing="1"/>
    </w:pPr>
  </w:style>
  <w:style w:type="paragraph" w:customStyle="1" w:styleId="icon5-sj1">
    <w:name w:val="icon5-sj1"/>
    <w:basedOn w:val="a"/>
    <w:pPr>
      <w:spacing w:before="100" w:beforeAutospacing="1" w:after="100" w:afterAutospacing="1"/>
    </w:pPr>
  </w:style>
  <w:style w:type="paragraph" w:customStyle="1" w:styleId="icon5-sj2">
    <w:name w:val="icon5-sj2"/>
    <w:basedOn w:val="a"/>
    <w:pPr>
      <w:spacing w:before="100" w:beforeAutospacing="1" w:after="100" w:afterAutospacing="1"/>
    </w:pPr>
  </w:style>
  <w:style w:type="paragraph" w:customStyle="1" w:styleId="icon5-sj3">
    <w:name w:val="icon5-sj3"/>
    <w:basedOn w:val="a"/>
    <w:pPr>
      <w:spacing w:before="100" w:beforeAutospacing="1" w:after="100" w:afterAutospacing="1"/>
    </w:pPr>
  </w:style>
  <w:style w:type="paragraph" w:customStyle="1" w:styleId="icon5-sj4">
    <w:name w:val="icon5-sj4"/>
    <w:basedOn w:val="a"/>
    <w:pPr>
      <w:spacing w:before="100" w:beforeAutospacing="1" w:after="100" w:afterAutospacing="1"/>
    </w:pPr>
  </w:style>
  <w:style w:type="paragraph" w:customStyle="1" w:styleId="icon5-sj5">
    <w:name w:val="icon5-sj5"/>
    <w:basedOn w:val="a"/>
    <w:pPr>
      <w:spacing w:before="100" w:beforeAutospacing="1" w:after="100" w:afterAutospacing="1"/>
    </w:pPr>
  </w:style>
  <w:style w:type="paragraph" w:customStyle="1" w:styleId="icon5-sj6">
    <w:name w:val="icon5-sj6"/>
    <w:basedOn w:val="a"/>
    <w:pPr>
      <w:spacing w:before="100" w:beforeAutospacing="1" w:after="100" w:afterAutospacing="1"/>
    </w:pPr>
  </w:style>
  <w:style w:type="paragraph" w:customStyle="1" w:styleId="icon5-sj7">
    <w:name w:val="icon5-sj7"/>
    <w:basedOn w:val="a"/>
    <w:pPr>
      <w:spacing w:before="100" w:beforeAutospacing="1" w:after="100" w:afterAutospacing="1"/>
    </w:pPr>
  </w:style>
  <w:style w:type="paragraph" w:customStyle="1" w:styleId="icon5-sj8">
    <w:name w:val="icon5-sj8"/>
    <w:basedOn w:val="a"/>
    <w:pPr>
      <w:spacing w:before="100" w:beforeAutospacing="1" w:after="100" w:afterAutospacing="1"/>
    </w:pPr>
  </w:style>
  <w:style w:type="paragraph" w:customStyle="1" w:styleId="icon5-sj9">
    <w:name w:val="icon5-sj9"/>
    <w:basedOn w:val="a"/>
    <w:pPr>
      <w:spacing w:before="100" w:beforeAutospacing="1" w:after="100" w:afterAutospacing="1"/>
    </w:pPr>
  </w:style>
  <w:style w:type="paragraph" w:customStyle="1" w:styleId="icon5-sj10">
    <w:name w:val="icon5-sj10"/>
    <w:basedOn w:val="a"/>
    <w:pPr>
      <w:spacing w:before="100" w:beforeAutospacing="1" w:after="100" w:afterAutospacing="1"/>
    </w:pPr>
  </w:style>
  <w:style w:type="paragraph" w:customStyle="1" w:styleId="icon6-sj1">
    <w:name w:val="icon6-sj1"/>
    <w:basedOn w:val="a"/>
    <w:pPr>
      <w:spacing w:before="100" w:beforeAutospacing="1" w:after="100" w:afterAutospacing="1"/>
    </w:pPr>
  </w:style>
  <w:style w:type="paragraph" w:customStyle="1" w:styleId="icon6-sj2">
    <w:name w:val="icon6-sj2"/>
    <w:basedOn w:val="a"/>
    <w:pPr>
      <w:spacing w:before="100" w:beforeAutospacing="1" w:after="100" w:afterAutospacing="1"/>
    </w:pPr>
  </w:style>
  <w:style w:type="paragraph" w:customStyle="1" w:styleId="icon6-sj3">
    <w:name w:val="icon6-sj3"/>
    <w:basedOn w:val="a"/>
    <w:pPr>
      <w:spacing w:before="100" w:beforeAutospacing="1" w:after="100" w:afterAutospacing="1"/>
    </w:pPr>
  </w:style>
  <w:style w:type="paragraph" w:customStyle="1" w:styleId="icon6-sj4">
    <w:name w:val="icon6-sj4"/>
    <w:basedOn w:val="a"/>
    <w:pPr>
      <w:spacing w:before="100" w:beforeAutospacing="1" w:after="100" w:afterAutospacing="1"/>
    </w:pPr>
  </w:style>
  <w:style w:type="paragraph" w:customStyle="1" w:styleId="icon6-sj5">
    <w:name w:val="icon6-sj5"/>
    <w:basedOn w:val="a"/>
    <w:pPr>
      <w:spacing w:before="100" w:beforeAutospacing="1" w:after="100" w:afterAutospacing="1"/>
    </w:pPr>
  </w:style>
  <w:style w:type="paragraph" w:customStyle="1" w:styleId="icon6-sj6">
    <w:name w:val="icon6-sj6"/>
    <w:basedOn w:val="a"/>
    <w:pPr>
      <w:spacing w:before="100" w:beforeAutospacing="1" w:after="100" w:afterAutospacing="1"/>
    </w:pPr>
  </w:style>
  <w:style w:type="paragraph" w:customStyle="1" w:styleId="icon6-sj7">
    <w:name w:val="icon6-sj7"/>
    <w:basedOn w:val="a"/>
    <w:pPr>
      <w:spacing w:before="100" w:beforeAutospacing="1" w:after="100" w:afterAutospacing="1"/>
    </w:pPr>
  </w:style>
  <w:style w:type="paragraph" w:customStyle="1" w:styleId="icon6-sj8">
    <w:name w:val="icon6-sj8"/>
    <w:basedOn w:val="a"/>
    <w:pPr>
      <w:spacing w:before="100" w:beforeAutospacing="1" w:after="100" w:afterAutospacing="1"/>
    </w:pPr>
  </w:style>
  <w:style w:type="paragraph" w:customStyle="1" w:styleId="icon6-sj9">
    <w:name w:val="icon6-sj9"/>
    <w:basedOn w:val="a"/>
    <w:pPr>
      <w:spacing w:before="100" w:beforeAutospacing="1" w:after="100" w:afterAutospacing="1"/>
    </w:pPr>
  </w:style>
  <w:style w:type="paragraph" w:customStyle="1" w:styleId="icon6-sj10">
    <w:name w:val="icon6-sj10"/>
    <w:basedOn w:val="a"/>
    <w:pPr>
      <w:spacing w:before="100" w:beforeAutospacing="1" w:after="100" w:afterAutospacing="1"/>
    </w:pPr>
  </w:style>
  <w:style w:type="paragraph" w:customStyle="1" w:styleId="box5-right-h1">
    <w:name w:val="box5-right-h1"/>
    <w:basedOn w:val="a"/>
    <w:pPr>
      <w:spacing w:before="100" w:beforeAutospacing="1" w:after="100" w:afterAutospacing="1"/>
    </w:pPr>
    <w:rPr>
      <w:b/>
      <w:bCs/>
      <w:color w:val="0171C3"/>
      <w:sz w:val="17"/>
      <w:szCs w:val="17"/>
    </w:rPr>
  </w:style>
  <w:style w:type="paragraph" w:customStyle="1" w:styleId="box5-right">
    <w:name w:val="box5-right"/>
    <w:basedOn w:val="a"/>
    <w:pPr>
      <w:spacing w:before="100" w:beforeAutospacing="1" w:after="100" w:afterAutospacing="1"/>
    </w:pPr>
  </w:style>
  <w:style w:type="paragraph" w:customStyle="1" w:styleId="fw1">
    <w:name w:val="fw1"/>
    <w:basedOn w:val="a"/>
    <w:pPr>
      <w:shd w:val="clear" w:color="auto" w:fill="BDA200"/>
      <w:spacing w:before="100" w:beforeAutospacing="1" w:after="100" w:afterAutospacing="1"/>
    </w:pPr>
  </w:style>
  <w:style w:type="paragraph" w:customStyle="1" w:styleId="fw2">
    <w:name w:val="fw2"/>
    <w:basedOn w:val="a"/>
    <w:pPr>
      <w:shd w:val="clear" w:color="auto" w:fill="F9A55A"/>
      <w:spacing w:before="100" w:beforeAutospacing="1" w:after="100" w:afterAutospacing="1"/>
    </w:pPr>
  </w:style>
  <w:style w:type="paragraph" w:customStyle="1" w:styleId="fw3">
    <w:name w:val="fw3"/>
    <w:basedOn w:val="a"/>
    <w:pPr>
      <w:shd w:val="clear" w:color="auto" w:fill="3D93DD"/>
      <w:spacing w:before="100" w:beforeAutospacing="1" w:after="100" w:afterAutospacing="1"/>
    </w:pPr>
  </w:style>
  <w:style w:type="paragraph" w:customStyle="1" w:styleId="fw4">
    <w:name w:val="fw4"/>
    <w:basedOn w:val="a"/>
    <w:pPr>
      <w:shd w:val="clear" w:color="auto" w:fill="BF6BD7"/>
      <w:spacing w:before="100" w:beforeAutospacing="1" w:after="100" w:afterAutospacing="1"/>
    </w:pPr>
  </w:style>
  <w:style w:type="paragraph" w:customStyle="1" w:styleId="fw5">
    <w:name w:val="fw5"/>
    <w:basedOn w:val="a"/>
    <w:pPr>
      <w:shd w:val="clear" w:color="auto" w:fill="C3CAAB"/>
      <w:spacing w:before="100" w:beforeAutospacing="1" w:after="100" w:afterAutospacing="1"/>
    </w:pPr>
  </w:style>
  <w:style w:type="paragraph" w:customStyle="1" w:styleId="fw6">
    <w:name w:val="fw6"/>
    <w:basedOn w:val="a"/>
    <w:pPr>
      <w:shd w:val="clear" w:color="auto" w:fill="FDAE45"/>
      <w:spacing w:before="100" w:beforeAutospacing="1" w:after="100" w:afterAutospacing="1"/>
    </w:pPr>
  </w:style>
  <w:style w:type="paragraph" w:customStyle="1" w:styleId="tab-box-pad5">
    <w:name w:val="tab-box-pad5"/>
    <w:basedOn w:val="a"/>
    <w:pPr>
      <w:spacing w:before="216" w:after="240"/>
      <w:ind w:left="300" w:right="240"/>
    </w:pPr>
  </w:style>
  <w:style w:type="paragraph" w:customStyle="1" w:styleId="i-tab6">
    <w:name w:val="i-tab6"/>
    <w:basedOn w:val="a"/>
    <w:pPr>
      <w:shd w:val="clear" w:color="auto" w:fill="FFFFFF"/>
      <w:spacing w:before="100" w:beforeAutospacing="1" w:after="100" w:afterAutospacing="1"/>
    </w:pPr>
  </w:style>
  <w:style w:type="paragraph" w:customStyle="1" w:styleId="i-tab6-box">
    <w:name w:val="i-tab6-box"/>
    <w:basedOn w:val="a"/>
    <w:pPr>
      <w:spacing w:before="100" w:beforeAutospacing="1" w:after="100" w:afterAutospacing="1"/>
    </w:pPr>
  </w:style>
  <w:style w:type="paragraph" w:customStyle="1" w:styleId="i-tab6-list">
    <w:name w:val="i-tab6-list"/>
    <w:basedOn w:val="a"/>
    <w:pPr>
      <w:spacing w:before="100" w:beforeAutospacing="1" w:after="100" w:afterAutospacing="1"/>
    </w:pPr>
  </w:style>
  <w:style w:type="paragraph" w:customStyle="1" w:styleId="i-tab6-ul-top">
    <w:name w:val="i-tab6-ul-top"/>
    <w:basedOn w:val="a"/>
    <w:pPr>
      <w:shd w:val="clear" w:color="auto" w:fill="1D9EEA"/>
      <w:spacing w:before="120" w:after="60"/>
    </w:pPr>
  </w:style>
  <w:style w:type="paragraph" w:customStyle="1" w:styleId="i-tab6-ul-bottom">
    <w:name w:val="i-tab6-ul-bottom"/>
    <w:basedOn w:val="a"/>
    <w:pPr>
      <w:spacing w:before="100" w:beforeAutospacing="1" w:after="100" w:afterAutospacing="1"/>
    </w:pPr>
  </w:style>
  <w:style w:type="paragraph" w:customStyle="1" w:styleId="wid1">
    <w:name w:val="wid1"/>
    <w:basedOn w:val="a"/>
    <w:pPr>
      <w:spacing w:before="100" w:beforeAutospacing="1" w:after="100" w:afterAutospacing="1"/>
    </w:pPr>
  </w:style>
  <w:style w:type="paragraph" w:customStyle="1" w:styleId="wid2">
    <w:name w:val="wid2"/>
    <w:basedOn w:val="a"/>
    <w:pPr>
      <w:spacing w:before="100" w:beforeAutospacing="1" w:after="100" w:afterAutospacing="1"/>
    </w:pPr>
  </w:style>
  <w:style w:type="paragraph" w:customStyle="1" w:styleId="wid3">
    <w:name w:val="wid3"/>
    <w:basedOn w:val="a"/>
    <w:pPr>
      <w:spacing w:before="100" w:beforeAutospacing="1" w:after="100" w:afterAutospacing="1"/>
    </w:pPr>
  </w:style>
  <w:style w:type="paragraph" w:customStyle="1" w:styleId="wid4">
    <w:name w:val="wid4"/>
    <w:basedOn w:val="a"/>
    <w:pPr>
      <w:spacing w:before="100" w:beforeAutospacing="1" w:after="100" w:afterAutospacing="1"/>
    </w:pPr>
  </w:style>
  <w:style w:type="paragraph" w:customStyle="1" w:styleId="wid5">
    <w:name w:val="wid5"/>
    <w:basedOn w:val="a"/>
    <w:pPr>
      <w:spacing w:before="100" w:beforeAutospacing="1" w:after="100" w:afterAutospacing="1"/>
      <w:jc w:val="right"/>
    </w:pPr>
  </w:style>
  <w:style w:type="paragraph" w:customStyle="1" w:styleId="wids1">
    <w:name w:val="wids1"/>
    <w:basedOn w:val="a"/>
    <w:pPr>
      <w:spacing w:before="100" w:beforeAutospacing="1" w:after="100" w:afterAutospacing="1"/>
    </w:pPr>
  </w:style>
  <w:style w:type="paragraph" w:customStyle="1" w:styleId="wids2">
    <w:name w:val="wids2"/>
    <w:basedOn w:val="a"/>
    <w:pPr>
      <w:spacing w:before="100" w:beforeAutospacing="1" w:after="100" w:afterAutospacing="1"/>
    </w:pPr>
  </w:style>
  <w:style w:type="paragraph" w:customStyle="1" w:styleId="wids3">
    <w:name w:val="wids3"/>
    <w:basedOn w:val="a"/>
    <w:pPr>
      <w:spacing w:before="100" w:beforeAutospacing="1" w:after="100" w:afterAutospacing="1"/>
    </w:pPr>
  </w:style>
  <w:style w:type="paragraph" w:customStyle="1" w:styleId="wids4">
    <w:name w:val="wids4"/>
    <w:basedOn w:val="a"/>
    <w:pPr>
      <w:spacing w:before="100" w:beforeAutospacing="1" w:after="100" w:afterAutospacing="1"/>
    </w:pPr>
  </w:style>
  <w:style w:type="paragraph" w:customStyle="1" w:styleId="wids5">
    <w:name w:val="wids5"/>
    <w:basedOn w:val="a"/>
    <w:pPr>
      <w:spacing w:before="100" w:beforeAutospacing="1" w:after="100" w:afterAutospacing="1"/>
      <w:jc w:val="right"/>
    </w:pPr>
  </w:style>
  <w:style w:type="paragraph" w:customStyle="1" w:styleId="wids6">
    <w:name w:val="wids6"/>
    <w:basedOn w:val="a"/>
    <w:pPr>
      <w:spacing w:before="100" w:beforeAutospacing="1" w:after="100" w:afterAutospacing="1"/>
      <w:jc w:val="center"/>
    </w:pPr>
  </w:style>
  <w:style w:type="paragraph" w:customStyle="1" w:styleId="box-right6">
    <w:name w:val="box-right6"/>
    <w:basedOn w:val="a"/>
    <w:pPr>
      <w:spacing w:before="100" w:beforeAutospacing="1" w:after="100" w:afterAutospacing="1"/>
      <w:ind w:left="360"/>
    </w:pPr>
  </w:style>
  <w:style w:type="paragraph" w:customStyle="1" w:styleId="box-right6-h1">
    <w:name w:val="box-right6-h1"/>
    <w:basedOn w:val="a"/>
    <w:pPr>
      <w:spacing w:before="100" w:beforeAutospacing="1" w:after="100" w:afterAutospacing="1"/>
    </w:pPr>
    <w:rPr>
      <w:b/>
      <w:bCs/>
      <w:color w:val="156CB0"/>
      <w:sz w:val="19"/>
      <w:szCs w:val="19"/>
    </w:rPr>
  </w:style>
  <w:style w:type="paragraph" w:customStyle="1" w:styleId="box-right6-search">
    <w:name w:val="box-right6-search"/>
    <w:basedOn w:val="a"/>
    <w:pPr>
      <w:spacing w:before="300" w:after="100" w:afterAutospacing="1"/>
    </w:pPr>
  </w:style>
  <w:style w:type="paragraph" w:customStyle="1" w:styleId="box-right6-search1">
    <w:name w:val="box-right6-search1"/>
    <w:basedOn w:val="a"/>
    <w:pPr>
      <w:pBdr>
        <w:top w:val="single" w:sz="4" w:space="0" w:color="CCCCCC"/>
        <w:left w:val="single" w:sz="4" w:space="6" w:color="CCCCCC"/>
        <w:bottom w:val="single" w:sz="4" w:space="0" w:color="CCCCCC"/>
        <w:right w:val="single" w:sz="4" w:space="0" w:color="CCCCCC"/>
      </w:pBdr>
      <w:spacing w:before="100" w:beforeAutospacing="1" w:after="100" w:afterAutospacing="1" w:line="396" w:lineRule="atLeast"/>
    </w:pPr>
    <w:rPr>
      <w:color w:val="CCCCCC"/>
      <w:sz w:val="17"/>
      <w:szCs w:val="17"/>
    </w:rPr>
  </w:style>
  <w:style w:type="paragraph" w:customStyle="1" w:styleId="box-right6-search2">
    <w:name w:val="box-right6-search2"/>
    <w:basedOn w:val="a"/>
    <w:pPr>
      <w:shd w:val="clear" w:color="auto" w:fill="1D9EEA"/>
      <w:spacing w:before="100" w:beforeAutospacing="1" w:after="100" w:afterAutospacing="1"/>
      <w:ind w:left="-36"/>
    </w:pPr>
    <w:rPr>
      <w:color w:val="FFFFFF"/>
      <w:sz w:val="17"/>
      <w:szCs w:val="17"/>
    </w:rPr>
  </w:style>
  <w:style w:type="paragraph" w:customStyle="1" w:styleId="tab-box-pad6">
    <w:name w:val="tab-box-pad6"/>
    <w:basedOn w:val="a"/>
    <w:pPr>
      <w:spacing w:before="100" w:beforeAutospacing="1" w:after="100" w:afterAutospacing="1"/>
    </w:pPr>
  </w:style>
  <w:style w:type="paragraph" w:customStyle="1" w:styleId="tab-box7-box">
    <w:name w:val="tab-box7-box"/>
    <w:basedOn w:val="a"/>
    <w:pPr>
      <w:shd w:val="clear" w:color="auto" w:fill="F5F3F3"/>
      <w:spacing w:before="100" w:beforeAutospacing="1" w:after="100" w:afterAutospacing="1"/>
      <w:ind w:right="204"/>
    </w:pPr>
  </w:style>
  <w:style w:type="paragraph" w:customStyle="1" w:styleId="tab-box7-h1">
    <w:name w:val="tab-box7-h1"/>
    <w:basedOn w:val="a"/>
    <w:pPr>
      <w:shd w:val="clear" w:color="auto" w:fill="CB0201"/>
      <w:spacing w:before="100" w:beforeAutospacing="1" w:after="100" w:afterAutospacing="1" w:line="444" w:lineRule="atLeast"/>
    </w:pPr>
    <w:rPr>
      <w:color w:val="FFFFFF"/>
      <w:sz w:val="19"/>
      <w:szCs w:val="19"/>
    </w:rPr>
  </w:style>
  <w:style w:type="paragraph" w:customStyle="1" w:styleId="tab-box7-ul">
    <w:name w:val="tab-box7-ul"/>
    <w:basedOn w:val="a"/>
    <w:pPr>
      <w:spacing w:before="100" w:beforeAutospacing="1" w:after="100" w:afterAutospacing="1"/>
    </w:pPr>
  </w:style>
  <w:style w:type="paragraph" w:customStyle="1" w:styleId="i-sld2">
    <w:name w:val="i-sld2"/>
    <w:basedOn w:val="a"/>
    <w:pPr>
      <w:spacing w:before="100" w:beforeAutospacing="1" w:after="100" w:afterAutospacing="1"/>
    </w:pPr>
  </w:style>
  <w:style w:type="paragraph" w:customStyle="1" w:styleId="box-right7">
    <w:name w:val="box-right7"/>
    <w:basedOn w:val="a"/>
    <w:pPr>
      <w:spacing w:before="100" w:beforeAutospacing="1" w:after="100" w:afterAutospacing="1"/>
      <w:ind w:left="216"/>
    </w:pPr>
  </w:style>
  <w:style w:type="paragraph" w:customStyle="1" w:styleId="box-right7-h1">
    <w:name w:val="box-right7-h1"/>
    <w:basedOn w:val="a"/>
    <w:pPr>
      <w:spacing w:before="100" w:beforeAutospacing="1" w:after="100" w:afterAutospacing="1" w:line="360" w:lineRule="atLeast"/>
    </w:pPr>
    <w:rPr>
      <w:b/>
      <w:bCs/>
      <w:color w:val="E10000"/>
      <w:sz w:val="19"/>
      <w:szCs w:val="19"/>
    </w:rPr>
  </w:style>
  <w:style w:type="paragraph" w:customStyle="1" w:styleId="box-right7-ul">
    <w:name w:val="box-right7-ul"/>
    <w:basedOn w:val="a"/>
    <w:pPr>
      <w:spacing w:before="72" w:after="100" w:afterAutospacing="1"/>
    </w:pPr>
  </w:style>
  <w:style w:type="paragraph" w:customStyle="1" w:styleId="cx1">
    <w:name w:val="cx1"/>
    <w:basedOn w:val="a"/>
    <w:pPr>
      <w:shd w:val="clear" w:color="auto" w:fill="83C56A"/>
      <w:spacing w:before="100" w:beforeAutospacing="1" w:after="100" w:afterAutospacing="1"/>
    </w:pPr>
  </w:style>
  <w:style w:type="paragraph" w:customStyle="1" w:styleId="cx2">
    <w:name w:val="cx2"/>
    <w:basedOn w:val="a"/>
    <w:pPr>
      <w:shd w:val="clear" w:color="auto" w:fill="E64505"/>
      <w:spacing w:before="100" w:beforeAutospacing="1" w:after="100" w:afterAutospacing="1"/>
    </w:pPr>
  </w:style>
  <w:style w:type="paragraph" w:customStyle="1" w:styleId="cx3">
    <w:name w:val="cx3"/>
    <w:basedOn w:val="a"/>
    <w:pPr>
      <w:shd w:val="clear" w:color="auto" w:fill="71C2C9"/>
      <w:spacing w:before="100" w:beforeAutospacing="1" w:after="100" w:afterAutospacing="1"/>
    </w:pPr>
  </w:style>
  <w:style w:type="paragraph" w:customStyle="1" w:styleId="ind-middle3">
    <w:name w:val="ind-middle3"/>
    <w:basedOn w:val="a"/>
    <w:pPr>
      <w:spacing w:before="100" w:beforeAutospacing="1" w:after="100" w:afterAutospacing="1"/>
    </w:pPr>
  </w:style>
  <w:style w:type="paragraph" w:customStyle="1" w:styleId="i-middle">
    <w:name w:val="i-middle"/>
    <w:basedOn w:val="a"/>
    <w:pPr>
      <w:spacing w:before="100" w:beforeAutospacing="1" w:after="180"/>
    </w:pPr>
  </w:style>
  <w:style w:type="paragraph" w:customStyle="1" w:styleId="i-middle-box">
    <w:name w:val="i-middle-box"/>
    <w:basedOn w:val="a"/>
    <w:pPr>
      <w:spacing w:before="100" w:beforeAutospacing="1" w:after="100" w:afterAutospacing="1"/>
      <w:ind w:right="228"/>
    </w:pPr>
  </w:style>
  <w:style w:type="paragraph" w:customStyle="1" w:styleId="ind-new5-box">
    <w:name w:val="ind-new5-box"/>
    <w:basedOn w:val="a"/>
    <w:pPr>
      <w:pBdr>
        <w:top w:val="single" w:sz="12" w:space="0" w:color="25B577"/>
        <w:left w:val="single" w:sz="4" w:space="0" w:color="DCEAF5"/>
        <w:bottom w:val="single" w:sz="4" w:space="0" w:color="DCEAF5"/>
        <w:right w:val="single" w:sz="4" w:space="0" w:color="DCEAF5"/>
      </w:pBdr>
      <w:shd w:val="clear" w:color="auto" w:fill="FFFFFF"/>
      <w:spacing w:before="100" w:beforeAutospacing="1" w:after="100" w:afterAutospacing="1"/>
      <w:ind w:right="228"/>
    </w:pPr>
  </w:style>
  <w:style w:type="paragraph" w:customStyle="1" w:styleId="ind-title-ul2">
    <w:name w:val="ind-title-ul2"/>
    <w:basedOn w:val="a"/>
    <w:pPr>
      <w:shd w:val="clear" w:color="auto" w:fill="F2F7FC"/>
      <w:spacing w:before="100" w:beforeAutospacing="1" w:after="100" w:afterAutospacing="1"/>
    </w:pPr>
  </w:style>
  <w:style w:type="paragraph" w:customStyle="1" w:styleId="ind-new5-ul-a">
    <w:name w:val="ind-new5-ul-a"/>
    <w:basedOn w:val="a"/>
    <w:pPr>
      <w:spacing w:before="100" w:beforeAutospacing="1" w:after="100" w:afterAutospacing="1" w:line="420" w:lineRule="atLeast"/>
    </w:pPr>
    <w:rPr>
      <w:color w:val="0168B7"/>
      <w:sz w:val="17"/>
      <w:szCs w:val="17"/>
    </w:rPr>
  </w:style>
  <w:style w:type="paragraph" w:customStyle="1" w:styleId="ind-new5-ul-a2">
    <w:name w:val="ind-new5-ul-a2"/>
    <w:basedOn w:val="a"/>
    <w:pPr>
      <w:spacing w:before="100" w:beforeAutospacing="1" w:after="100" w:afterAutospacing="1" w:line="480" w:lineRule="atLeast"/>
    </w:pPr>
    <w:rPr>
      <w:color w:val="0168B7"/>
      <w:sz w:val="17"/>
      <w:szCs w:val="17"/>
    </w:rPr>
  </w:style>
  <w:style w:type="paragraph" w:customStyle="1" w:styleId="ind-sld-as">
    <w:name w:val="ind-sld-as"/>
    <w:basedOn w:val="a"/>
    <w:pPr>
      <w:spacing w:before="100" w:beforeAutospacing="1" w:after="100" w:afterAutospacing="1" w:line="360" w:lineRule="atLeast"/>
    </w:pPr>
    <w:rPr>
      <w:b/>
      <w:bCs/>
      <w:color w:val="0168B7"/>
      <w:sz w:val="17"/>
      <w:szCs w:val="17"/>
    </w:rPr>
  </w:style>
  <w:style w:type="paragraph" w:customStyle="1" w:styleId="ind-sld-as2">
    <w:name w:val="ind-sld-as2"/>
    <w:basedOn w:val="a"/>
    <w:pPr>
      <w:spacing w:before="100" w:beforeAutospacing="1" w:after="100" w:afterAutospacing="1" w:line="360" w:lineRule="atLeast"/>
    </w:pPr>
    <w:rPr>
      <w:b/>
      <w:bCs/>
      <w:color w:val="0168B7"/>
      <w:sz w:val="17"/>
      <w:szCs w:val="17"/>
    </w:rPr>
  </w:style>
  <w:style w:type="paragraph" w:customStyle="1" w:styleId="ind-new5-pad">
    <w:name w:val="ind-new5-pad"/>
    <w:basedOn w:val="a"/>
    <w:pPr>
      <w:spacing w:before="100" w:beforeAutospacing="1" w:after="100" w:afterAutospacing="1"/>
    </w:pPr>
  </w:style>
  <w:style w:type="paragraph" w:customStyle="1" w:styleId="ind-new5-big">
    <w:name w:val="ind-new5-big"/>
    <w:basedOn w:val="a"/>
    <w:pPr>
      <w:pBdr>
        <w:bottom w:val="single" w:sz="4" w:space="4" w:color="F0F0F0"/>
      </w:pBdr>
      <w:spacing w:before="100" w:beforeAutospacing="1" w:after="100" w:afterAutospacing="1"/>
    </w:pPr>
  </w:style>
  <w:style w:type="paragraph" w:customStyle="1" w:styleId="ind-new5-h1">
    <w:name w:val="ind-new5-h1"/>
    <w:basedOn w:val="a"/>
    <w:pPr>
      <w:spacing w:before="100" w:beforeAutospacing="1" w:after="100" w:afterAutospacing="1" w:line="480" w:lineRule="atLeast"/>
    </w:pPr>
  </w:style>
  <w:style w:type="paragraph" w:customStyle="1" w:styleId="ind-new5-p">
    <w:name w:val="ind-new5-p"/>
    <w:basedOn w:val="a"/>
    <w:pPr>
      <w:spacing w:before="100" w:beforeAutospacing="1" w:after="100" w:afterAutospacing="1" w:line="300" w:lineRule="atLeast"/>
    </w:pPr>
  </w:style>
  <w:style w:type="paragraph" w:customStyle="1" w:styleId="ind-new5-tab">
    <w:name w:val="ind-new5-tab"/>
    <w:basedOn w:val="a"/>
    <w:pPr>
      <w:spacing w:before="100" w:beforeAutospacing="1" w:after="100" w:afterAutospacing="1"/>
    </w:pPr>
    <w:rPr>
      <w:vanish/>
    </w:rPr>
  </w:style>
  <w:style w:type="paragraph" w:customStyle="1" w:styleId="ind-ul-box">
    <w:name w:val="ind-ul-box"/>
    <w:basedOn w:val="a"/>
    <w:pPr>
      <w:spacing w:before="100" w:beforeAutospacing="1" w:after="100" w:afterAutospacing="1"/>
    </w:pPr>
  </w:style>
  <w:style w:type="paragraph" w:customStyle="1" w:styleId="wechat">
    <w:name w:val="wechat"/>
    <w:basedOn w:val="a"/>
    <w:pPr>
      <w:shd w:val="clear" w:color="auto" w:fill="FFFFFF"/>
      <w:spacing w:before="100" w:beforeAutospacing="1" w:after="100" w:afterAutospacing="1"/>
    </w:pPr>
    <w:rPr>
      <w:vanish/>
    </w:rPr>
  </w:style>
  <w:style w:type="paragraph" w:customStyle="1" w:styleId="footer">
    <w:name w:val="footer"/>
    <w:basedOn w:val="a"/>
    <w:pPr>
      <w:shd w:val="clear" w:color="auto" w:fill="FFFFFF"/>
      <w:spacing w:before="100" w:beforeAutospacing="1" w:after="100" w:afterAutospacing="1"/>
    </w:pPr>
  </w:style>
  <w:style w:type="paragraph" w:customStyle="1" w:styleId="footer-box">
    <w:name w:val="footer-box"/>
    <w:basedOn w:val="a"/>
    <w:pPr>
      <w:spacing w:before="100" w:beforeAutospacing="1" w:after="100" w:afterAutospacing="1"/>
      <w:ind w:left="960"/>
    </w:pPr>
  </w:style>
  <w:style w:type="paragraph" w:customStyle="1" w:styleId="footer-text">
    <w:name w:val="footer-text"/>
    <w:basedOn w:val="a"/>
    <w:pPr>
      <w:spacing w:before="144" w:after="100" w:afterAutospacing="1"/>
    </w:pPr>
  </w:style>
  <w:style w:type="paragraph" w:customStyle="1" w:styleId="bottom-sli">
    <w:name w:val="bottom-sli"/>
    <w:basedOn w:val="a"/>
    <w:pPr>
      <w:shd w:val="clear" w:color="auto" w:fill="FFFFFF"/>
      <w:spacing w:before="100" w:beforeAutospacing="1" w:after="100" w:afterAutospacing="1"/>
    </w:pPr>
  </w:style>
  <w:style w:type="paragraph" w:customStyle="1" w:styleId="bottom-sli-a">
    <w:name w:val="bottom-sli-a"/>
    <w:basedOn w:val="a"/>
    <w:pPr>
      <w:shd w:val="clear" w:color="auto" w:fill="58B8EF"/>
      <w:spacing w:before="100" w:beforeAutospacing="1" w:after="100" w:afterAutospacing="1" w:line="432" w:lineRule="atLeast"/>
      <w:jc w:val="center"/>
    </w:pPr>
    <w:rPr>
      <w:color w:val="FFFFFF"/>
      <w:sz w:val="22"/>
      <w:szCs w:val="22"/>
    </w:rPr>
  </w:style>
  <w:style w:type="paragraph" w:customStyle="1" w:styleId="bottom-sli-bs">
    <w:name w:val="bottom-sli-bs"/>
    <w:basedOn w:val="a"/>
    <w:pPr>
      <w:spacing w:before="100" w:beforeAutospacing="1" w:after="100" w:afterAutospacing="1"/>
    </w:pPr>
    <w:rPr>
      <w:vanish/>
    </w:rPr>
  </w:style>
  <w:style w:type="paragraph" w:customStyle="1" w:styleId="bottom-sli-box">
    <w:name w:val="bottom-sli-box"/>
    <w:basedOn w:val="a"/>
    <w:pPr>
      <w:pBdr>
        <w:bottom w:val="single" w:sz="4" w:space="12" w:color="DDEBF5"/>
      </w:pBdr>
      <w:shd w:val="clear" w:color="auto" w:fill="FFFFFF"/>
      <w:spacing w:before="100" w:beforeAutospacing="1" w:after="100" w:afterAutospacing="1"/>
    </w:pPr>
  </w:style>
  <w:style w:type="paragraph" w:customStyle="1" w:styleId="bottom-sli-chao">
    <w:name w:val="bottom-sli-chao"/>
    <w:basedOn w:val="a"/>
    <w:pPr>
      <w:spacing w:before="100" w:beforeAutospacing="1" w:after="100" w:afterAutospacing="1"/>
    </w:pPr>
  </w:style>
  <w:style w:type="paragraph" w:customStyle="1" w:styleId="bottom-sli-box2">
    <w:name w:val="bottom-sli-box2"/>
    <w:basedOn w:val="a"/>
    <w:pPr>
      <w:spacing w:before="100" w:beforeAutospacing="1" w:after="100" w:afterAutospacing="1"/>
    </w:pPr>
  </w:style>
  <w:style w:type="paragraph" w:customStyle="1" w:styleId="bottom-sli-h1">
    <w:name w:val="bottom-sli-h1"/>
    <w:basedOn w:val="a"/>
    <w:pPr>
      <w:spacing w:before="100" w:beforeAutospacing="1" w:after="100" w:afterAutospacing="1"/>
    </w:pPr>
    <w:rPr>
      <w:color w:val="0171C3"/>
      <w:sz w:val="22"/>
      <w:szCs w:val="22"/>
    </w:rPr>
  </w:style>
  <w:style w:type="paragraph" w:customStyle="1" w:styleId="bottom-sli-ul1">
    <w:name w:val="bottom-sli-ul1"/>
    <w:basedOn w:val="a"/>
    <w:pPr>
      <w:pBdr>
        <w:top w:val="single" w:sz="4" w:space="0" w:color="DDEBF5"/>
        <w:left w:val="single" w:sz="4" w:space="0" w:color="DDEBF5"/>
        <w:bottom w:val="single" w:sz="4" w:space="0" w:color="DDEBF5"/>
        <w:right w:val="single" w:sz="4" w:space="0" w:color="DDEBF5"/>
      </w:pBdr>
      <w:spacing w:before="240" w:after="100" w:afterAutospacing="1"/>
    </w:pPr>
  </w:style>
  <w:style w:type="paragraph" w:customStyle="1" w:styleId="bottom-tab-box">
    <w:name w:val="bottom-tab-box"/>
    <w:basedOn w:val="a"/>
    <w:pPr>
      <w:spacing w:before="240" w:after="100" w:afterAutospacing="1"/>
    </w:pPr>
  </w:style>
  <w:style w:type="paragraph" w:customStyle="1" w:styleId="bottom-tab-ul">
    <w:name w:val="bottom-tab-ul"/>
    <w:basedOn w:val="a"/>
    <w:pPr>
      <w:pBdr>
        <w:top w:val="single" w:sz="4" w:space="9" w:color="DDEBF5"/>
        <w:left w:val="single" w:sz="4" w:space="9" w:color="DDEBF5"/>
        <w:bottom w:val="single" w:sz="4" w:space="0" w:color="DDEBF5"/>
        <w:right w:val="single" w:sz="4" w:space="9" w:color="DDEBF5"/>
      </w:pBdr>
      <w:shd w:val="clear" w:color="auto" w:fill="F2FAFF"/>
      <w:spacing w:before="100" w:beforeAutospacing="1" w:after="100" w:afterAutospacing="1"/>
    </w:pPr>
    <w:rPr>
      <w:vanish/>
    </w:rPr>
  </w:style>
  <w:style w:type="paragraph" w:customStyle="1" w:styleId="bottom-top">
    <w:name w:val="bottom-top"/>
    <w:basedOn w:val="a"/>
    <w:pPr>
      <w:spacing w:before="100" w:beforeAutospacing="1" w:after="100" w:afterAutospacing="1"/>
    </w:pPr>
  </w:style>
  <w:style w:type="paragraph" w:customStyle="1" w:styleId="icon-sli-bottom">
    <w:name w:val="icon-sli-bottom"/>
    <w:basedOn w:val="a"/>
    <w:pPr>
      <w:spacing w:before="100" w:beforeAutospacing="1" w:after="100" w:afterAutospacing="1"/>
      <w:ind w:left="120"/>
    </w:pPr>
  </w:style>
  <w:style w:type="paragraph" w:customStyle="1" w:styleId="xz-a">
    <w:name w:val="xz-a"/>
    <w:basedOn w:val="a"/>
    <w:pPr>
      <w:spacing w:before="192"/>
      <w:ind w:left="60"/>
    </w:pPr>
  </w:style>
  <w:style w:type="paragraph" w:customStyle="1" w:styleId="xz-ul">
    <w:name w:val="xz-ul"/>
    <w:basedOn w:val="a"/>
    <w:pPr>
      <w:spacing w:before="108" w:after="100" w:afterAutospacing="1"/>
    </w:pPr>
  </w:style>
  <w:style w:type="paragraph" w:customStyle="1" w:styleId="i-tab11">
    <w:name w:val="i-tab11"/>
    <w:basedOn w:val="a"/>
    <w:pPr>
      <w:shd w:val="clear" w:color="auto" w:fill="FFFFFF"/>
      <w:spacing w:before="100" w:beforeAutospacing="1" w:after="100" w:afterAutospacing="1"/>
    </w:pPr>
  </w:style>
  <w:style w:type="paragraph" w:customStyle="1" w:styleId="i-tab11-list">
    <w:name w:val="i-tab11-list"/>
    <w:basedOn w:val="a"/>
    <w:pPr>
      <w:spacing w:before="100" w:beforeAutospacing="1" w:after="100" w:afterAutospacing="1"/>
    </w:pPr>
  </w:style>
  <w:style w:type="paragraph" w:customStyle="1" w:styleId="i-tab11-ul">
    <w:name w:val="i-tab11-ul"/>
    <w:basedOn w:val="a"/>
    <w:pPr>
      <w:spacing w:before="100" w:beforeAutospacing="1" w:after="100" w:afterAutospacing="1"/>
    </w:pPr>
  </w:style>
  <w:style w:type="paragraph" w:customStyle="1" w:styleId="i-tab11-ul-a">
    <w:name w:val="i-tab11-ul-a"/>
    <w:basedOn w:val="a"/>
    <w:pPr>
      <w:spacing w:before="100" w:beforeAutospacing="1" w:after="100" w:afterAutospacing="1"/>
      <w:ind w:right="180"/>
    </w:pPr>
  </w:style>
  <w:style w:type="paragraph" w:customStyle="1" w:styleId="xzys-h1">
    <w:name w:val="xzys-h1"/>
    <w:basedOn w:val="a"/>
    <w:pPr>
      <w:spacing w:before="100" w:beforeAutospacing="1" w:after="100" w:afterAutospacing="1" w:line="360" w:lineRule="atLeast"/>
    </w:pPr>
    <w:rPr>
      <w:b/>
      <w:bCs/>
      <w:color w:val="000000"/>
      <w:sz w:val="17"/>
      <w:szCs w:val="17"/>
    </w:rPr>
  </w:style>
  <w:style w:type="paragraph" w:customStyle="1" w:styleId="pad11">
    <w:name w:val="pad11"/>
    <w:basedOn w:val="a"/>
    <w:pPr>
      <w:spacing w:before="100" w:beforeAutospacing="1" w:after="100" w:afterAutospacing="1"/>
    </w:pPr>
  </w:style>
  <w:style w:type="paragraph" w:customStyle="1" w:styleId="mar11">
    <w:name w:val="mar11"/>
    <w:basedOn w:val="a"/>
    <w:pPr>
      <w:spacing w:before="132" w:after="100" w:afterAutospacing="1"/>
    </w:pPr>
  </w:style>
  <w:style w:type="paragraph" w:customStyle="1" w:styleId="box-right11">
    <w:name w:val="box-right11"/>
    <w:basedOn w:val="a"/>
    <w:pPr>
      <w:spacing w:before="192" w:after="100" w:afterAutospacing="1"/>
    </w:pPr>
  </w:style>
  <w:style w:type="paragraph" w:customStyle="1" w:styleId="box-right11-h1">
    <w:name w:val="box-right11-h1"/>
    <w:basedOn w:val="a"/>
    <w:pPr>
      <w:spacing w:before="100" w:beforeAutospacing="1" w:after="100" w:afterAutospacing="1"/>
    </w:pPr>
    <w:rPr>
      <w:b/>
      <w:bCs/>
      <w:color w:val="156CB0"/>
      <w:sz w:val="19"/>
      <w:szCs w:val="19"/>
    </w:rPr>
  </w:style>
  <w:style w:type="paragraph" w:customStyle="1" w:styleId="con">
    <w:name w:val="con"/>
    <w:basedOn w:val="a"/>
    <w:pPr>
      <w:pBdr>
        <w:top w:val="single" w:sz="12" w:space="0" w:color="0168B7"/>
      </w:pBdr>
      <w:shd w:val="clear" w:color="auto" w:fill="FFFFFF"/>
      <w:spacing w:before="100" w:beforeAutospacing="1" w:after="100" w:afterAutospacing="1"/>
    </w:pPr>
  </w:style>
  <w:style w:type="paragraph" w:customStyle="1" w:styleId="icon-li1">
    <w:name w:val="icon-li1"/>
    <w:basedOn w:val="a"/>
    <w:pPr>
      <w:spacing w:before="100" w:beforeAutospacing="1" w:after="60"/>
    </w:pPr>
  </w:style>
  <w:style w:type="paragraph" w:customStyle="1" w:styleId="icon-li2">
    <w:name w:val="icon-li2"/>
    <w:basedOn w:val="a"/>
    <w:pPr>
      <w:spacing w:before="100" w:beforeAutospacing="1" w:after="60"/>
    </w:pPr>
  </w:style>
  <w:style w:type="paragraph" w:customStyle="1" w:styleId="icon-li3">
    <w:name w:val="icon-li3"/>
    <w:basedOn w:val="a"/>
    <w:pPr>
      <w:spacing w:before="100" w:beforeAutospacing="1" w:after="60"/>
    </w:pPr>
  </w:style>
  <w:style w:type="paragraph" w:customStyle="1" w:styleId="icon-li4">
    <w:name w:val="icon-li4"/>
    <w:basedOn w:val="a"/>
    <w:pPr>
      <w:spacing w:before="100" w:beforeAutospacing="1" w:after="60"/>
    </w:pPr>
  </w:style>
  <w:style w:type="paragraph" w:customStyle="1" w:styleId="icon-li5">
    <w:name w:val="icon-li5"/>
    <w:basedOn w:val="a"/>
    <w:pPr>
      <w:spacing w:before="100" w:beforeAutospacing="1" w:after="60"/>
    </w:pPr>
  </w:style>
  <w:style w:type="paragraph" w:customStyle="1" w:styleId="icon-li6">
    <w:name w:val="icon-li6"/>
    <w:basedOn w:val="a"/>
    <w:pPr>
      <w:spacing w:before="100" w:beforeAutospacing="1" w:after="60"/>
    </w:pPr>
  </w:style>
  <w:style w:type="paragraph" w:customStyle="1" w:styleId="icon-li7">
    <w:name w:val="icon-li7"/>
    <w:basedOn w:val="a"/>
    <w:pPr>
      <w:spacing w:before="100" w:beforeAutospacing="1" w:after="60"/>
    </w:pPr>
  </w:style>
  <w:style w:type="paragraph" w:customStyle="1" w:styleId="icon-li8">
    <w:name w:val="icon-li8"/>
    <w:basedOn w:val="a"/>
    <w:pPr>
      <w:spacing w:before="100" w:beforeAutospacing="1" w:after="60"/>
    </w:pPr>
  </w:style>
  <w:style w:type="paragraph" w:customStyle="1" w:styleId="icon-lis1">
    <w:name w:val="icon-lis1"/>
    <w:basedOn w:val="a"/>
    <w:pPr>
      <w:spacing w:before="100" w:beforeAutospacing="1" w:after="60"/>
    </w:pPr>
  </w:style>
  <w:style w:type="paragraph" w:customStyle="1" w:styleId="icon-lis2">
    <w:name w:val="icon-lis2"/>
    <w:basedOn w:val="a"/>
    <w:pPr>
      <w:spacing w:before="100" w:beforeAutospacing="1" w:after="60"/>
    </w:pPr>
  </w:style>
  <w:style w:type="paragraph" w:customStyle="1" w:styleId="icon-lis3">
    <w:name w:val="icon-lis3"/>
    <w:basedOn w:val="a"/>
    <w:pPr>
      <w:spacing w:before="100" w:beforeAutospacing="1" w:after="60"/>
    </w:pPr>
  </w:style>
  <w:style w:type="paragraph" w:customStyle="1" w:styleId="icon-lis4">
    <w:name w:val="icon-lis4"/>
    <w:basedOn w:val="a"/>
    <w:pPr>
      <w:spacing w:before="100" w:beforeAutospacing="1" w:after="60"/>
    </w:pPr>
  </w:style>
  <w:style w:type="paragraph" w:customStyle="1" w:styleId="icon-lis5">
    <w:name w:val="icon-lis5"/>
    <w:basedOn w:val="a"/>
    <w:pPr>
      <w:spacing w:before="100" w:beforeAutospacing="1" w:after="60"/>
    </w:pPr>
  </w:style>
  <w:style w:type="paragraph" w:customStyle="1" w:styleId="icon-lis6">
    <w:name w:val="icon-lis6"/>
    <w:basedOn w:val="a"/>
    <w:pPr>
      <w:spacing w:before="100" w:beforeAutospacing="1" w:after="60"/>
    </w:pPr>
  </w:style>
  <w:style w:type="paragraph" w:customStyle="1" w:styleId="icon-lis7">
    <w:name w:val="icon-lis7"/>
    <w:basedOn w:val="a"/>
    <w:pPr>
      <w:spacing w:before="100" w:beforeAutospacing="1" w:after="60"/>
    </w:pPr>
  </w:style>
  <w:style w:type="paragraph" w:customStyle="1" w:styleId="icon-lis8">
    <w:name w:val="icon-lis8"/>
    <w:basedOn w:val="a"/>
    <w:pPr>
      <w:spacing w:before="100" w:beforeAutospacing="1" w:after="60"/>
    </w:pPr>
  </w:style>
  <w:style w:type="paragraph" w:customStyle="1" w:styleId="into-nav">
    <w:name w:val="into-nav"/>
    <w:basedOn w:val="a"/>
    <w:pPr>
      <w:spacing w:before="100" w:beforeAutospacing="1" w:after="100" w:afterAutospacing="1"/>
    </w:pPr>
  </w:style>
  <w:style w:type="paragraph" w:customStyle="1" w:styleId="into-ul">
    <w:name w:val="into-ul"/>
    <w:basedOn w:val="a"/>
    <w:pPr>
      <w:spacing w:before="100" w:beforeAutospacing="1" w:after="100" w:afterAutospacing="1"/>
    </w:pPr>
  </w:style>
  <w:style w:type="paragraph" w:customStyle="1" w:styleId="into-main1">
    <w:name w:val="into-main1"/>
    <w:basedOn w:val="a"/>
    <w:pPr>
      <w:shd w:val="clear" w:color="auto" w:fill="FCFBE2"/>
      <w:spacing w:before="100" w:beforeAutospacing="1" w:after="100" w:afterAutospacing="1"/>
    </w:pPr>
  </w:style>
  <w:style w:type="paragraph" w:customStyle="1" w:styleId="into-sld">
    <w:name w:val="into-sld"/>
    <w:basedOn w:val="a"/>
    <w:pPr>
      <w:spacing w:before="100" w:beforeAutospacing="1" w:after="100" w:afterAutospacing="1"/>
    </w:pPr>
  </w:style>
  <w:style w:type="paragraph" w:customStyle="1" w:styleId="into-main1-text">
    <w:name w:val="into-main1-text"/>
    <w:basedOn w:val="a"/>
    <w:pPr>
      <w:spacing w:before="100" w:beforeAutospacing="1" w:after="100" w:afterAutospacing="1"/>
      <w:ind w:left="180"/>
    </w:pPr>
  </w:style>
  <w:style w:type="paragraph" w:customStyle="1" w:styleId="into-left">
    <w:name w:val="into-left"/>
    <w:basedOn w:val="a"/>
    <w:pPr>
      <w:pBdr>
        <w:right w:val="single" w:sz="4" w:space="0" w:color="F1F1F1"/>
      </w:pBdr>
      <w:spacing w:before="100" w:beforeAutospacing="1" w:after="100" w:afterAutospacing="1"/>
    </w:pPr>
  </w:style>
  <w:style w:type="paragraph" w:customStyle="1" w:styleId="into-right">
    <w:name w:val="into-right"/>
    <w:basedOn w:val="a"/>
    <w:pPr>
      <w:spacing w:before="100" w:beforeAutospacing="1" w:after="100" w:afterAutospacing="1"/>
    </w:pPr>
  </w:style>
  <w:style w:type="paragraph" w:customStyle="1" w:styleId="into-left1">
    <w:name w:val="into-left1"/>
    <w:basedOn w:val="a"/>
    <w:pPr>
      <w:spacing w:before="120" w:after="100" w:afterAutospacing="1"/>
    </w:pPr>
  </w:style>
  <w:style w:type="paragraph" w:customStyle="1" w:styleId="into-left2">
    <w:name w:val="into-left2"/>
    <w:basedOn w:val="a"/>
    <w:pPr>
      <w:spacing w:before="120" w:after="100" w:afterAutospacing="1"/>
    </w:pPr>
  </w:style>
  <w:style w:type="paragraph" w:customStyle="1" w:styleId="into-left-ul">
    <w:name w:val="into-left-ul"/>
    <w:basedOn w:val="a"/>
    <w:pPr>
      <w:spacing w:before="100" w:beforeAutospacing="1" w:after="100" w:afterAutospacing="1"/>
    </w:pPr>
  </w:style>
  <w:style w:type="paragraph" w:customStyle="1" w:styleId="into-left-list">
    <w:name w:val="into-left-list"/>
    <w:basedOn w:val="a"/>
    <w:pPr>
      <w:spacing w:before="100" w:beforeAutospacing="1" w:after="100" w:afterAutospacing="1"/>
    </w:pPr>
    <w:rPr>
      <w:vanish/>
    </w:rPr>
  </w:style>
  <w:style w:type="paragraph" w:customStyle="1" w:styleId="into-left-list2">
    <w:name w:val="into-left-list2"/>
    <w:basedOn w:val="a"/>
    <w:pPr>
      <w:shd w:val="clear" w:color="auto" w:fill="71C2C9"/>
      <w:spacing w:before="100" w:beforeAutospacing="1" w:after="100" w:afterAutospacing="1"/>
    </w:pPr>
    <w:rPr>
      <w:vanish/>
    </w:rPr>
  </w:style>
  <w:style w:type="paragraph" w:customStyle="1" w:styleId="into-left1-p">
    <w:name w:val="into-left1-p"/>
    <w:basedOn w:val="a"/>
    <w:pPr>
      <w:spacing w:before="100" w:beforeAutospacing="1" w:after="100" w:afterAutospacing="1" w:line="288" w:lineRule="atLeast"/>
    </w:pPr>
    <w:rPr>
      <w:color w:val="FFFFFF"/>
      <w:sz w:val="17"/>
      <w:szCs w:val="17"/>
    </w:rPr>
  </w:style>
  <w:style w:type="paragraph" w:customStyle="1" w:styleId="into-left2-p">
    <w:name w:val="into-left2-p"/>
    <w:basedOn w:val="a"/>
    <w:pPr>
      <w:spacing w:before="100" w:beforeAutospacing="1" w:after="100" w:afterAutospacing="1" w:line="324" w:lineRule="atLeast"/>
    </w:pPr>
    <w:rPr>
      <w:color w:val="FFFFFF"/>
      <w:sz w:val="17"/>
      <w:szCs w:val="17"/>
    </w:rPr>
  </w:style>
  <w:style w:type="paragraph" w:customStyle="1" w:styleId="left-img">
    <w:name w:val="left-img"/>
    <w:basedOn w:val="a"/>
    <w:pPr>
      <w:spacing w:before="100" w:beforeAutospacing="1" w:after="100" w:afterAutospacing="1"/>
      <w:ind w:right="180"/>
    </w:pPr>
  </w:style>
  <w:style w:type="paragraph" w:customStyle="1" w:styleId="left-img2">
    <w:name w:val="left-img2"/>
    <w:basedOn w:val="a"/>
    <w:pPr>
      <w:spacing w:before="100" w:beforeAutospacing="1" w:after="100" w:afterAutospacing="1"/>
      <w:ind w:right="180"/>
    </w:pPr>
  </w:style>
  <w:style w:type="paragraph" w:customStyle="1" w:styleId="left-left-ul-a">
    <w:name w:val="left-left-ul-a"/>
    <w:basedOn w:val="a"/>
    <w:pPr>
      <w:spacing w:before="100" w:beforeAutospacing="1" w:after="100" w:afterAutospacing="1" w:line="600" w:lineRule="atLeast"/>
    </w:pPr>
    <w:rPr>
      <w:color w:val="666666"/>
      <w:sz w:val="17"/>
      <w:szCs w:val="17"/>
    </w:rPr>
  </w:style>
  <w:style w:type="paragraph" w:customStyle="1" w:styleId="into-left-chao">
    <w:name w:val="into-left-chao"/>
    <w:basedOn w:val="a"/>
    <w:pPr>
      <w:spacing w:before="100" w:beforeAutospacing="1" w:after="100" w:afterAutospacing="1"/>
    </w:pPr>
  </w:style>
  <w:style w:type="paragraph" w:customStyle="1" w:styleId="into-right1">
    <w:name w:val="into-right1"/>
    <w:basedOn w:val="a"/>
    <w:pPr>
      <w:spacing w:before="120" w:after="100" w:afterAutospacing="1"/>
    </w:pPr>
  </w:style>
  <w:style w:type="paragraph" w:customStyle="1" w:styleId="into-right2">
    <w:name w:val="into-right2"/>
    <w:basedOn w:val="a"/>
    <w:pPr>
      <w:spacing w:before="120" w:after="100" w:afterAutospacing="1"/>
    </w:pPr>
  </w:style>
  <w:style w:type="paragraph" w:customStyle="1" w:styleId="into-right1-h1">
    <w:name w:val="into-right1-h1"/>
    <w:basedOn w:val="a"/>
    <w:pPr>
      <w:spacing w:before="100" w:beforeAutospacing="1" w:after="100" w:afterAutospacing="1" w:line="600" w:lineRule="atLeast"/>
    </w:pPr>
    <w:rPr>
      <w:color w:val="0168B7"/>
    </w:rPr>
  </w:style>
  <w:style w:type="paragraph" w:customStyle="1" w:styleId="into-right1-ul">
    <w:name w:val="into-right1-ul"/>
    <w:basedOn w:val="a"/>
    <w:pPr>
      <w:spacing w:before="100" w:beforeAutospacing="1" w:after="100" w:afterAutospacing="1"/>
    </w:pPr>
  </w:style>
  <w:style w:type="paragraph" w:customStyle="1" w:styleId="into-right1-list">
    <w:name w:val="into-right1-list"/>
    <w:basedOn w:val="a"/>
    <w:pPr>
      <w:shd w:val="clear" w:color="auto" w:fill="4CA7EC"/>
      <w:spacing w:before="100" w:beforeAutospacing="1" w:after="100" w:afterAutospacing="1"/>
    </w:pPr>
    <w:rPr>
      <w:vanish/>
    </w:rPr>
  </w:style>
  <w:style w:type="paragraph" w:customStyle="1" w:styleId="into-right2-p">
    <w:name w:val="into-right2-p"/>
    <w:basedOn w:val="a"/>
    <w:pPr>
      <w:spacing w:before="96" w:after="100" w:afterAutospacing="1" w:line="288" w:lineRule="atLeast"/>
    </w:pPr>
    <w:rPr>
      <w:color w:val="666666"/>
      <w:sz w:val="17"/>
      <w:szCs w:val="17"/>
    </w:rPr>
  </w:style>
  <w:style w:type="paragraph" w:customStyle="1" w:styleId="into-main3">
    <w:name w:val="into-main3"/>
    <w:basedOn w:val="a"/>
    <w:pPr>
      <w:spacing w:before="100" w:beforeAutospacing="1" w:after="100" w:afterAutospacing="1"/>
    </w:pPr>
  </w:style>
  <w:style w:type="paragraph" w:customStyle="1" w:styleId="into-main3-title">
    <w:name w:val="into-main3-title"/>
    <w:basedOn w:val="a"/>
    <w:pPr>
      <w:spacing w:before="120" w:after="100" w:afterAutospacing="1"/>
    </w:pPr>
  </w:style>
  <w:style w:type="paragraph" w:customStyle="1" w:styleId="into-main3-p">
    <w:name w:val="into-main3-p"/>
    <w:basedOn w:val="a"/>
    <w:pPr>
      <w:spacing w:before="100" w:beforeAutospacing="1" w:after="100" w:afterAutospacing="1" w:line="360" w:lineRule="atLeast"/>
      <w:jc w:val="center"/>
    </w:pPr>
    <w:rPr>
      <w:color w:val="FFFFFF"/>
      <w:sz w:val="17"/>
      <w:szCs w:val="17"/>
    </w:rPr>
  </w:style>
  <w:style w:type="paragraph" w:customStyle="1" w:styleId="into-main3-mask">
    <w:name w:val="into-main3-mask"/>
    <w:basedOn w:val="a"/>
    <w:pPr>
      <w:spacing w:before="100" w:beforeAutospacing="1" w:after="100" w:afterAutospacing="1"/>
    </w:pPr>
  </w:style>
  <w:style w:type="paragraph" w:customStyle="1" w:styleId="img-list">
    <w:name w:val="img-list"/>
    <w:basedOn w:val="a"/>
    <w:pPr>
      <w:pBdr>
        <w:top w:val="single" w:sz="4" w:space="0" w:color="F1F1F1"/>
      </w:pBdr>
      <w:spacing w:before="100" w:beforeAutospacing="1" w:after="100" w:afterAutospacing="1"/>
    </w:pPr>
  </w:style>
  <w:style w:type="paragraph" w:customStyle="1" w:styleId="img-list-title">
    <w:name w:val="img-list-title"/>
    <w:basedOn w:val="a"/>
    <w:pPr>
      <w:shd w:val="clear" w:color="auto" w:fill="F2F2F2"/>
      <w:spacing w:before="120" w:after="120" w:line="480" w:lineRule="atLeast"/>
    </w:pPr>
    <w:rPr>
      <w:color w:val="797979"/>
      <w:sz w:val="17"/>
      <w:szCs w:val="17"/>
    </w:rPr>
  </w:style>
  <w:style w:type="paragraph" w:customStyle="1" w:styleId="home">
    <w:name w:val="home"/>
    <w:basedOn w:val="a"/>
    <w:pPr>
      <w:spacing w:before="100" w:beforeAutospacing="1" w:after="100" w:afterAutospacing="1"/>
      <w:ind w:right="60"/>
    </w:pPr>
  </w:style>
  <w:style w:type="paragraph" w:customStyle="1" w:styleId="img-list-box">
    <w:name w:val="img-list-box"/>
    <w:basedOn w:val="a"/>
    <w:pPr>
      <w:spacing w:before="100" w:beforeAutospacing="1" w:after="100" w:afterAutospacing="1"/>
    </w:pPr>
  </w:style>
  <w:style w:type="paragraph" w:customStyle="1" w:styleId="page">
    <w:name w:val="page"/>
    <w:basedOn w:val="a"/>
    <w:pPr>
      <w:spacing w:before="100" w:beforeAutospacing="1" w:after="100" w:afterAutospacing="1"/>
      <w:jc w:val="center"/>
    </w:pPr>
    <w:rPr>
      <w:color w:val="000000"/>
      <w:sz w:val="17"/>
      <w:szCs w:val="17"/>
    </w:rPr>
  </w:style>
  <w:style w:type="paragraph" w:customStyle="1" w:styleId="into-page-left">
    <w:name w:val="into-page-left"/>
    <w:basedOn w:val="a"/>
    <w:pPr>
      <w:pBdr>
        <w:top w:val="single" w:sz="4" w:space="0" w:color="F1F1F1"/>
      </w:pBdr>
      <w:spacing w:before="100" w:beforeAutospacing="1" w:after="100" w:afterAutospacing="1"/>
    </w:pPr>
  </w:style>
  <w:style w:type="paragraph" w:customStyle="1" w:styleId="into-page-right">
    <w:name w:val="into-page-right"/>
    <w:basedOn w:val="a"/>
    <w:pPr>
      <w:pBdr>
        <w:top w:val="single" w:sz="4" w:space="0" w:color="F1F1F1"/>
        <w:left w:val="single" w:sz="4" w:space="15" w:color="F1F1F1"/>
      </w:pBdr>
      <w:spacing w:before="100" w:beforeAutospacing="1" w:after="100" w:afterAutospacing="1"/>
    </w:pPr>
  </w:style>
  <w:style w:type="paragraph" w:customStyle="1" w:styleId="into-page-left-h1">
    <w:name w:val="into-page-left-h1"/>
    <w:basedOn w:val="a"/>
    <w:pPr>
      <w:spacing w:before="120" w:after="120" w:line="420" w:lineRule="atLeast"/>
    </w:pPr>
    <w:rPr>
      <w:b/>
      <w:bCs/>
      <w:color w:val="FFFFFF"/>
      <w:sz w:val="22"/>
      <w:szCs w:val="22"/>
    </w:rPr>
  </w:style>
  <w:style w:type="paragraph" w:customStyle="1" w:styleId="font-size">
    <w:name w:val="font-size"/>
    <w:basedOn w:val="a"/>
    <w:pPr>
      <w:shd w:val="clear" w:color="auto" w:fill="FFFFFF"/>
      <w:spacing w:before="84" w:after="100" w:afterAutospacing="1"/>
    </w:pPr>
  </w:style>
  <w:style w:type="paragraph" w:customStyle="1" w:styleId="into-page-text">
    <w:name w:val="into-page-text"/>
    <w:basedOn w:val="a"/>
    <w:pPr>
      <w:spacing w:before="100" w:beforeAutospacing="1" w:after="100" w:afterAutospacing="1" w:line="360" w:lineRule="atLeast"/>
    </w:pPr>
    <w:rPr>
      <w:rFonts w:ascii="微软雅黑" w:eastAsia="微软雅黑" w:hAnsi="微软雅黑"/>
      <w:color w:val="333333"/>
      <w:sz w:val="19"/>
      <w:szCs w:val="19"/>
    </w:rPr>
  </w:style>
  <w:style w:type="paragraph" w:customStyle="1" w:styleId="into-page-img">
    <w:name w:val="into-page-img"/>
    <w:basedOn w:val="a"/>
    <w:pPr>
      <w:spacing w:before="600" w:after="600"/>
      <w:jc w:val="center"/>
    </w:pPr>
  </w:style>
  <w:style w:type="paragraph" w:customStyle="1" w:styleId="message-nav">
    <w:name w:val="message-nav"/>
    <w:basedOn w:val="a"/>
    <w:pPr>
      <w:spacing w:before="100" w:beforeAutospacing="1" w:after="100" w:afterAutospacing="1"/>
    </w:pPr>
  </w:style>
  <w:style w:type="paragraph" w:customStyle="1" w:styleId="message-main1-left">
    <w:name w:val="message-main1-left"/>
    <w:basedOn w:val="a"/>
    <w:pPr>
      <w:spacing w:before="100" w:beforeAutospacing="1" w:after="100" w:afterAutospacing="1"/>
    </w:pPr>
  </w:style>
  <w:style w:type="paragraph" w:customStyle="1" w:styleId="message-main1-right">
    <w:name w:val="message-main1-right"/>
    <w:basedOn w:val="a"/>
    <w:pPr>
      <w:spacing w:before="100" w:beforeAutospacing="1" w:after="100" w:afterAutospacing="1"/>
    </w:pPr>
  </w:style>
  <w:style w:type="paragraph" w:customStyle="1" w:styleId="message-main1-left1">
    <w:name w:val="message-main1-left1"/>
    <w:basedOn w:val="a"/>
    <w:pPr>
      <w:shd w:val="clear" w:color="auto" w:fill="4CA7EC"/>
      <w:spacing w:before="100" w:beforeAutospacing="1" w:after="100" w:afterAutospacing="1"/>
    </w:pPr>
  </w:style>
  <w:style w:type="paragraph" w:customStyle="1" w:styleId="message-main1-left1-h1">
    <w:name w:val="message-main1-left1-h1"/>
    <w:basedOn w:val="a"/>
    <w:pPr>
      <w:pBdr>
        <w:bottom w:val="single" w:sz="4" w:space="0" w:color="FFFFFF"/>
      </w:pBdr>
      <w:spacing w:before="100" w:beforeAutospacing="1" w:after="100" w:afterAutospacing="1" w:line="600" w:lineRule="atLeast"/>
    </w:pPr>
    <w:rPr>
      <w:b/>
      <w:bCs/>
      <w:color w:val="FFFFFF"/>
    </w:rPr>
  </w:style>
  <w:style w:type="paragraph" w:customStyle="1" w:styleId="message-main1-left1-a">
    <w:name w:val="message-main1-left1-a"/>
    <w:basedOn w:val="a"/>
    <w:pPr>
      <w:spacing w:before="100" w:beforeAutospacing="1" w:after="100" w:afterAutospacing="1"/>
    </w:pPr>
    <w:rPr>
      <w:color w:val="FFFFFF"/>
      <w:sz w:val="17"/>
      <w:szCs w:val="17"/>
    </w:rPr>
  </w:style>
  <w:style w:type="paragraph" w:customStyle="1" w:styleId="message-main1-left-1-small">
    <w:name w:val="message-main1-left-1-small"/>
    <w:basedOn w:val="a"/>
    <w:pPr>
      <w:spacing w:before="180" w:after="100" w:afterAutospacing="1"/>
    </w:pPr>
  </w:style>
  <w:style w:type="paragraph" w:customStyle="1" w:styleId="message-main1-left2">
    <w:name w:val="message-main1-left2"/>
    <w:basedOn w:val="a"/>
    <w:pPr>
      <w:shd w:val="clear" w:color="auto" w:fill="2ECC71"/>
      <w:spacing w:before="12" w:after="100" w:afterAutospacing="1"/>
    </w:pPr>
  </w:style>
  <w:style w:type="paragraph" w:customStyle="1" w:styleId="message-main1-left2-box">
    <w:name w:val="message-main1-left2-box"/>
    <w:basedOn w:val="a"/>
    <w:pPr>
      <w:spacing w:before="100" w:beforeAutospacing="1" w:after="100" w:afterAutospacing="1"/>
    </w:pPr>
  </w:style>
  <w:style w:type="paragraph" w:customStyle="1" w:styleId="message-main1-left3">
    <w:name w:val="message-main1-left3"/>
    <w:basedOn w:val="a"/>
    <w:pPr>
      <w:shd w:val="clear" w:color="auto" w:fill="4CA7EC"/>
      <w:spacing w:before="12" w:after="100" w:afterAutospacing="1"/>
    </w:pPr>
  </w:style>
  <w:style w:type="paragraph" w:customStyle="1" w:styleId="message-main1-left3-ul">
    <w:name w:val="message-main1-left3-ul"/>
    <w:basedOn w:val="a"/>
    <w:pPr>
      <w:spacing w:before="216" w:after="100" w:afterAutospacing="1"/>
    </w:pPr>
  </w:style>
  <w:style w:type="paragraph" w:customStyle="1" w:styleId="message-main1-right1">
    <w:name w:val="message-main1-right1"/>
    <w:basedOn w:val="a"/>
    <w:pPr>
      <w:spacing w:before="100" w:beforeAutospacing="1" w:after="100" w:afterAutospacing="1"/>
    </w:pPr>
  </w:style>
  <w:style w:type="paragraph" w:customStyle="1" w:styleId="message-main1-right1-title">
    <w:name w:val="message-main1-right1-title"/>
    <w:basedOn w:val="a"/>
    <w:pPr>
      <w:pBdr>
        <w:bottom w:val="single" w:sz="4" w:space="0" w:color="F1F1F1"/>
      </w:pBdr>
      <w:spacing w:before="100" w:beforeAutospacing="1" w:after="100" w:afterAutospacing="1"/>
    </w:pPr>
  </w:style>
  <w:style w:type="paragraph" w:customStyle="1" w:styleId="message-main1-right1-list">
    <w:name w:val="message-main1-right1-list"/>
    <w:basedOn w:val="a"/>
    <w:pPr>
      <w:spacing w:before="100" w:beforeAutospacing="1" w:after="100" w:afterAutospacing="1"/>
    </w:pPr>
    <w:rPr>
      <w:vanish/>
    </w:rPr>
  </w:style>
  <w:style w:type="paragraph" w:customStyle="1" w:styleId="messimg1">
    <w:name w:val="messimg1"/>
    <w:basedOn w:val="a"/>
    <w:pPr>
      <w:spacing w:before="100" w:beforeAutospacing="1" w:after="100" w:afterAutospacing="1"/>
      <w:ind w:right="360"/>
    </w:pPr>
  </w:style>
  <w:style w:type="paragraph" w:customStyle="1" w:styleId="message-main1-right2">
    <w:name w:val="message-main1-right2"/>
    <w:basedOn w:val="a"/>
    <w:pPr>
      <w:spacing w:before="60" w:after="100" w:afterAutospacing="1"/>
    </w:pPr>
  </w:style>
  <w:style w:type="paragraph" w:customStyle="1" w:styleId="message-main1-right2-box">
    <w:name w:val="message-main1-right2-box"/>
    <w:basedOn w:val="a"/>
    <w:pPr>
      <w:pBdr>
        <w:top w:val="single" w:sz="4" w:space="0" w:color="D9D9D9"/>
        <w:left w:val="single" w:sz="4" w:space="3" w:color="D9D9D9"/>
        <w:bottom w:val="single" w:sz="4" w:space="4" w:color="D9D9D9"/>
        <w:right w:val="single" w:sz="4" w:space="3" w:color="D9D9D9"/>
      </w:pBdr>
      <w:spacing w:before="100" w:beforeAutospacing="1" w:after="100" w:afterAutospacing="1"/>
      <w:ind w:right="120"/>
    </w:pPr>
  </w:style>
  <w:style w:type="paragraph" w:customStyle="1" w:styleId="message-main2">
    <w:name w:val="message-main2"/>
    <w:basedOn w:val="a"/>
    <w:pPr>
      <w:spacing w:before="120" w:after="120"/>
    </w:pPr>
  </w:style>
  <w:style w:type="paragraph" w:customStyle="1" w:styleId="message-main3">
    <w:name w:val="message-main3"/>
    <w:basedOn w:val="a"/>
    <w:pPr>
      <w:spacing w:before="100" w:beforeAutospacing="1" w:after="100" w:afterAutospacing="1"/>
    </w:pPr>
  </w:style>
  <w:style w:type="paragraph" w:customStyle="1" w:styleId="message-main4-left">
    <w:name w:val="message-main4-left"/>
    <w:basedOn w:val="a"/>
    <w:pPr>
      <w:spacing w:before="100" w:beforeAutospacing="1" w:after="100" w:afterAutospacing="1"/>
    </w:pPr>
  </w:style>
  <w:style w:type="paragraph" w:customStyle="1" w:styleId="message-main4-right">
    <w:name w:val="message-main4-right"/>
    <w:basedOn w:val="a"/>
    <w:pPr>
      <w:pBdr>
        <w:top w:val="single" w:sz="4" w:space="0" w:color="D9D9D9"/>
        <w:left w:val="single" w:sz="4" w:space="9" w:color="D9D9D9"/>
        <w:bottom w:val="single" w:sz="4" w:space="0" w:color="D9D9D9"/>
        <w:right w:val="single" w:sz="4" w:space="9" w:color="D9D9D9"/>
      </w:pBdr>
      <w:shd w:val="clear" w:color="auto" w:fill="FAFAFA"/>
      <w:spacing w:before="100" w:beforeAutospacing="1" w:after="100" w:afterAutospacing="1"/>
    </w:pPr>
  </w:style>
  <w:style w:type="paragraph" w:customStyle="1" w:styleId="message-main4-right-ul">
    <w:name w:val="message-main4-right-ul"/>
    <w:basedOn w:val="a"/>
    <w:pPr>
      <w:pBdr>
        <w:top w:val="single" w:sz="12" w:space="0" w:color="4CA7EC"/>
        <w:left w:val="single" w:sz="4" w:space="0" w:color="F1F1F1"/>
        <w:right w:val="single" w:sz="4" w:space="0" w:color="F1F1F1"/>
      </w:pBdr>
      <w:shd w:val="clear" w:color="auto" w:fill="FDFDFD"/>
      <w:spacing w:before="100" w:beforeAutospacing="1" w:after="100" w:afterAutospacing="1"/>
    </w:pPr>
  </w:style>
  <w:style w:type="paragraph" w:customStyle="1" w:styleId="message-main4-right-ul2">
    <w:name w:val="message-main4-right-ul2"/>
    <w:basedOn w:val="a"/>
    <w:pPr>
      <w:pBdr>
        <w:left w:val="single" w:sz="4" w:space="0" w:color="F1F1F1"/>
        <w:bottom w:val="single" w:sz="4" w:space="4" w:color="F1F1F1"/>
        <w:right w:val="single" w:sz="4" w:space="0" w:color="F1F1F1"/>
      </w:pBdr>
      <w:shd w:val="clear" w:color="auto" w:fill="FFFFFF"/>
      <w:spacing w:before="100" w:beforeAutospacing="1" w:after="100" w:afterAutospacing="1"/>
    </w:pPr>
    <w:rPr>
      <w:vanish/>
    </w:rPr>
  </w:style>
  <w:style w:type="paragraph" w:customStyle="1" w:styleId="ins-con-h1">
    <w:name w:val="ins-con-h1"/>
    <w:basedOn w:val="a"/>
    <w:pPr>
      <w:spacing w:before="100" w:beforeAutospacing="1" w:after="100" w:afterAutospacing="1"/>
      <w:jc w:val="center"/>
    </w:pPr>
    <w:rPr>
      <w:color w:val="000000"/>
      <w:sz w:val="29"/>
      <w:szCs w:val="29"/>
    </w:rPr>
  </w:style>
  <w:style w:type="paragraph" w:customStyle="1" w:styleId="ins-con-list">
    <w:name w:val="ins-con-list"/>
    <w:basedOn w:val="a"/>
    <w:pPr>
      <w:spacing w:before="100" w:beforeAutospacing="1" w:after="100" w:afterAutospacing="1"/>
    </w:pPr>
    <w:rPr>
      <w:vanish/>
    </w:rPr>
  </w:style>
  <w:style w:type="paragraph" w:customStyle="1" w:styleId="ins-con-img">
    <w:name w:val="ins-con-img"/>
    <w:basedOn w:val="a"/>
    <w:pPr>
      <w:spacing w:before="100" w:beforeAutospacing="1" w:after="120"/>
    </w:pPr>
  </w:style>
  <w:style w:type="paragraph" w:customStyle="1" w:styleId="mess-detail">
    <w:name w:val="mess-detail"/>
    <w:basedOn w:val="a"/>
    <w:pPr>
      <w:spacing w:before="100" w:beforeAutospacing="1" w:after="100" w:afterAutospacing="1"/>
    </w:pPr>
  </w:style>
  <w:style w:type="paragraph" w:customStyle="1" w:styleId="mess-detail-top">
    <w:name w:val="mess-detail-top"/>
    <w:basedOn w:val="a"/>
    <w:pPr>
      <w:shd w:val="clear" w:color="auto" w:fill="FFE8CD"/>
      <w:spacing w:before="100" w:beforeAutospacing="1" w:after="100" w:afterAutospacing="1"/>
    </w:pPr>
  </w:style>
  <w:style w:type="paragraph" w:customStyle="1" w:styleId="mess-detail-title">
    <w:name w:val="mess-detail-title"/>
    <w:basedOn w:val="a"/>
    <w:pPr>
      <w:pBdr>
        <w:bottom w:val="single" w:sz="4" w:space="9" w:color="F1F1F1"/>
      </w:pBdr>
      <w:spacing w:before="120" w:after="100" w:afterAutospacing="1"/>
    </w:pPr>
  </w:style>
  <w:style w:type="paragraph" w:customStyle="1" w:styleId="close-a">
    <w:name w:val="close-a"/>
    <w:basedOn w:val="a"/>
    <w:pPr>
      <w:spacing w:before="100" w:beforeAutospacing="1" w:after="100" w:afterAutospacing="1"/>
      <w:jc w:val="center"/>
    </w:pPr>
    <w:rPr>
      <w:color w:val="333333"/>
      <w:sz w:val="19"/>
      <w:szCs w:val="19"/>
    </w:rPr>
  </w:style>
  <w:style w:type="paragraph" w:customStyle="1" w:styleId="mess-list-text">
    <w:name w:val="mess-list-text"/>
    <w:basedOn w:val="a"/>
    <w:pPr>
      <w:shd w:val="clear" w:color="auto" w:fill="4CA7EC"/>
      <w:spacing w:before="100" w:beforeAutospacing="1" w:after="100" w:afterAutospacing="1"/>
    </w:pPr>
  </w:style>
  <w:style w:type="paragraph" w:customStyle="1" w:styleId="mess-list-tbox">
    <w:name w:val="mess-list-tbox"/>
    <w:basedOn w:val="a"/>
    <w:pPr>
      <w:shd w:val="clear" w:color="auto" w:fill="FFE8CD"/>
      <w:spacing w:before="100" w:beforeAutospacing="1" w:after="100" w:afterAutospacing="1"/>
    </w:pPr>
  </w:style>
  <w:style w:type="paragraph" w:customStyle="1" w:styleId="mess-list-tp">
    <w:name w:val="mess-list-tp"/>
    <w:basedOn w:val="a"/>
    <w:pPr>
      <w:shd w:val="clear" w:color="auto" w:fill="F0840A"/>
      <w:spacing w:before="100" w:beforeAutospacing="1" w:after="100" w:afterAutospacing="1" w:line="540" w:lineRule="atLeast"/>
      <w:jc w:val="center"/>
    </w:pPr>
    <w:rPr>
      <w:color w:val="FFFFFF"/>
      <w:sz w:val="17"/>
      <w:szCs w:val="17"/>
    </w:rPr>
  </w:style>
  <w:style w:type="paragraph" w:customStyle="1" w:styleId="mess-list-lbox-ul">
    <w:name w:val="mess-list-lbox-ul"/>
    <w:basedOn w:val="a"/>
    <w:pPr>
      <w:shd w:val="clear" w:color="auto" w:fill="4CA7EC"/>
      <w:spacing w:before="100" w:beforeAutospacing="1" w:after="100" w:afterAutospacing="1"/>
    </w:pPr>
  </w:style>
  <w:style w:type="paragraph" w:customStyle="1" w:styleId="mess-list-lbox">
    <w:name w:val="mess-list-lbox"/>
    <w:basedOn w:val="a"/>
    <w:pPr>
      <w:spacing w:before="100" w:beforeAutospacing="1" w:after="240"/>
    </w:pPr>
  </w:style>
  <w:style w:type="paragraph" w:customStyle="1" w:styleId="cit-login">
    <w:name w:val="cit-login"/>
    <w:basedOn w:val="a"/>
    <w:pPr>
      <w:shd w:val="clear" w:color="auto" w:fill="F1F1F1"/>
      <w:spacing w:before="100" w:beforeAutospacing="1" w:after="100" w:afterAutospacing="1"/>
    </w:pPr>
  </w:style>
  <w:style w:type="paragraph" w:customStyle="1" w:styleId="cit-input1">
    <w:name w:val="cit-input1"/>
    <w:basedOn w:val="a"/>
    <w:pPr>
      <w:spacing w:before="100" w:beforeAutospacing="1" w:after="100" w:afterAutospacing="1" w:line="396" w:lineRule="atLeast"/>
      <w:ind w:right="60"/>
    </w:pPr>
    <w:rPr>
      <w:color w:val="999999"/>
    </w:rPr>
  </w:style>
  <w:style w:type="paragraph" w:customStyle="1" w:styleId="cit-input2">
    <w:name w:val="cit-input2"/>
    <w:basedOn w:val="a"/>
    <w:pPr>
      <w:spacing w:before="100" w:beforeAutospacing="1" w:after="100" w:afterAutospacing="1" w:line="396" w:lineRule="atLeast"/>
      <w:ind w:right="60"/>
    </w:pPr>
    <w:rPr>
      <w:color w:val="999999"/>
    </w:rPr>
  </w:style>
  <w:style w:type="paragraph" w:customStyle="1" w:styleId="cit-input4">
    <w:name w:val="cit-input4"/>
    <w:basedOn w:val="a"/>
    <w:pPr>
      <w:spacing w:before="100" w:beforeAutospacing="1" w:after="100" w:afterAutospacing="1" w:line="396" w:lineRule="atLeast"/>
      <w:ind w:right="120"/>
    </w:pPr>
    <w:rPr>
      <w:color w:val="FFFFFF"/>
      <w:sz w:val="17"/>
      <w:szCs w:val="17"/>
    </w:rPr>
  </w:style>
  <w:style w:type="paragraph" w:customStyle="1" w:styleId="login-center">
    <w:name w:val="login-center"/>
    <w:basedOn w:val="a"/>
  </w:style>
  <w:style w:type="paragraph" w:customStyle="1" w:styleId="cit-main1">
    <w:name w:val="cit-main1"/>
    <w:basedOn w:val="a"/>
    <w:pPr>
      <w:spacing w:before="100" w:beforeAutospacing="1" w:after="100" w:afterAutospacing="1"/>
    </w:pPr>
  </w:style>
  <w:style w:type="paragraph" w:customStyle="1" w:styleId="cit-main1-left">
    <w:name w:val="cit-main1-left"/>
    <w:basedOn w:val="a"/>
    <w:pPr>
      <w:spacing w:before="100" w:beforeAutospacing="1" w:after="100" w:afterAutospacing="1"/>
    </w:pPr>
  </w:style>
  <w:style w:type="paragraph" w:customStyle="1" w:styleId="cit-main1-right">
    <w:name w:val="cit-main1-right"/>
    <w:basedOn w:val="a"/>
    <w:pPr>
      <w:spacing w:before="100" w:beforeAutospacing="1" w:after="100" w:afterAutospacing="1"/>
    </w:pPr>
  </w:style>
  <w:style w:type="paragraph" w:customStyle="1" w:styleId="cit-main1-left-title">
    <w:name w:val="cit-main1-left-title"/>
    <w:basedOn w:val="a"/>
    <w:pPr>
      <w:shd w:val="clear" w:color="auto" w:fill="71C2C9"/>
      <w:spacing w:before="100" w:beforeAutospacing="1" w:after="100" w:afterAutospacing="1" w:line="444" w:lineRule="atLeast"/>
      <w:jc w:val="center"/>
    </w:pPr>
    <w:rPr>
      <w:color w:val="FFFFFF"/>
    </w:rPr>
  </w:style>
  <w:style w:type="paragraph" w:customStyle="1" w:styleId="cit-main1-left-box">
    <w:name w:val="cit-main1-left-box"/>
    <w:basedOn w:val="a"/>
    <w:pPr>
      <w:shd w:val="clear" w:color="auto" w:fill="71C2C9"/>
      <w:spacing w:before="100" w:beforeAutospacing="1" w:after="100" w:afterAutospacing="1"/>
    </w:pPr>
  </w:style>
  <w:style w:type="paragraph" w:customStyle="1" w:styleId="cit-main1-a">
    <w:name w:val="cit-main1-a"/>
    <w:basedOn w:val="a"/>
    <w:pPr>
      <w:spacing w:before="100" w:beforeAutospacing="1" w:after="100" w:afterAutospacing="1"/>
      <w:jc w:val="center"/>
    </w:pPr>
  </w:style>
  <w:style w:type="paragraph" w:customStyle="1" w:styleId="cit-main1-right-box">
    <w:name w:val="cit-main1-right-box"/>
    <w:basedOn w:val="a"/>
    <w:pPr>
      <w:pBdr>
        <w:top w:val="single" w:sz="12" w:space="0" w:color="00A0E9"/>
        <w:left w:val="single" w:sz="12" w:space="0" w:color="00A0E9"/>
        <w:bottom w:val="single" w:sz="12" w:space="0" w:color="00A0E9"/>
        <w:right w:val="single" w:sz="12" w:space="1" w:color="00A0E9"/>
      </w:pBdr>
      <w:spacing w:before="100" w:beforeAutospacing="1" w:after="100" w:afterAutospacing="1"/>
    </w:pPr>
  </w:style>
  <w:style w:type="paragraph" w:customStyle="1" w:styleId="login-center2">
    <w:name w:val="login-center2"/>
    <w:basedOn w:val="a"/>
  </w:style>
  <w:style w:type="paragraph" w:customStyle="1" w:styleId="cit-search-box">
    <w:name w:val="cit-search-box"/>
    <w:basedOn w:val="a"/>
    <w:pPr>
      <w:spacing w:before="100" w:beforeAutospacing="1" w:after="100" w:afterAutospacing="1"/>
      <w:ind w:right="60"/>
    </w:pPr>
  </w:style>
  <w:style w:type="paragraph" w:customStyle="1" w:styleId="cit-select">
    <w:name w:val="cit-select"/>
    <w:basedOn w:val="a"/>
    <w:pPr>
      <w:spacing w:before="100" w:beforeAutospacing="1" w:after="100" w:afterAutospacing="1"/>
    </w:pPr>
    <w:rPr>
      <w:color w:val="999999"/>
      <w:sz w:val="17"/>
      <w:szCs w:val="17"/>
    </w:rPr>
  </w:style>
  <w:style w:type="paragraph" w:customStyle="1" w:styleId="cit-search">
    <w:name w:val="cit-search"/>
    <w:basedOn w:val="a"/>
  </w:style>
  <w:style w:type="paragraph" w:customStyle="1" w:styleId="cit-main1-right-ul1">
    <w:name w:val="cit-main1-right-ul1"/>
    <w:basedOn w:val="a"/>
    <w:pPr>
      <w:shd w:val="clear" w:color="auto" w:fill="6DBAFE"/>
      <w:spacing w:before="100" w:beforeAutospacing="1" w:after="100" w:afterAutospacing="1"/>
    </w:pPr>
    <w:rPr>
      <w:color w:val="FFFFFF"/>
      <w:sz w:val="17"/>
      <w:szCs w:val="17"/>
    </w:rPr>
  </w:style>
  <w:style w:type="paragraph" w:customStyle="1" w:styleId="cits1">
    <w:name w:val="cits1"/>
    <w:basedOn w:val="a"/>
    <w:pPr>
      <w:spacing w:before="100" w:beforeAutospacing="1" w:after="100" w:afterAutospacing="1"/>
    </w:pPr>
  </w:style>
  <w:style w:type="paragraph" w:customStyle="1" w:styleId="citsj">
    <w:name w:val="citsj"/>
    <w:basedOn w:val="a"/>
    <w:pPr>
      <w:spacing w:before="100" w:beforeAutospacing="1" w:after="100" w:afterAutospacing="1"/>
    </w:pPr>
  </w:style>
  <w:style w:type="paragraph" w:customStyle="1" w:styleId="cits2">
    <w:name w:val="cits2"/>
    <w:basedOn w:val="a"/>
    <w:pPr>
      <w:spacing w:before="100" w:beforeAutospacing="1" w:after="100" w:afterAutospacing="1"/>
    </w:pPr>
  </w:style>
  <w:style w:type="paragraph" w:customStyle="1" w:styleId="cits3">
    <w:name w:val="cits3"/>
    <w:basedOn w:val="a"/>
    <w:pPr>
      <w:spacing w:before="100" w:beforeAutospacing="1" w:after="100" w:afterAutospacing="1"/>
    </w:pPr>
  </w:style>
  <w:style w:type="paragraph" w:customStyle="1" w:styleId="cits4">
    <w:name w:val="cits4"/>
    <w:basedOn w:val="a"/>
    <w:pPr>
      <w:spacing w:before="100" w:beforeAutospacing="1" w:after="100" w:afterAutospacing="1"/>
      <w:jc w:val="center"/>
    </w:pPr>
  </w:style>
  <w:style w:type="paragraph" w:customStyle="1" w:styleId="cit-main1-right-ul2">
    <w:name w:val="cit-main1-right-ul2"/>
    <w:basedOn w:val="a"/>
    <w:pPr>
      <w:spacing w:before="100" w:beforeAutospacing="1" w:after="100" w:afterAutospacing="1"/>
    </w:pPr>
  </w:style>
  <w:style w:type="paragraph" w:customStyle="1" w:styleId="cit-main2-s">
    <w:name w:val="cit-main2-s"/>
    <w:basedOn w:val="a"/>
    <w:pPr>
      <w:spacing w:before="100" w:beforeAutospacing="1" w:after="100" w:afterAutospacing="1"/>
    </w:pPr>
  </w:style>
  <w:style w:type="paragraph" w:customStyle="1" w:styleId="cit-main2-box">
    <w:name w:val="cit-main2-box"/>
    <w:basedOn w:val="a"/>
    <w:pPr>
      <w:spacing w:before="100" w:beforeAutospacing="1" w:after="100" w:afterAutospacing="1"/>
      <w:ind w:right="180"/>
    </w:pPr>
  </w:style>
  <w:style w:type="paragraph" w:customStyle="1" w:styleId="cit-main2-ul1">
    <w:name w:val="cit-main2-ul1"/>
    <w:basedOn w:val="a"/>
    <w:pPr>
      <w:pBdr>
        <w:left w:val="single" w:sz="4" w:space="0" w:color="F2F2F2"/>
        <w:right w:val="single" w:sz="4" w:space="0" w:color="F2F2F2"/>
      </w:pBdr>
      <w:shd w:val="clear" w:color="auto" w:fill="FCFCFC"/>
      <w:spacing w:before="100" w:beforeAutospacing="1" w:after="100" w:afterAutospacing="1"/>
    </w:pPr>
  </w:style>
  <w:style w:type="paragraph" w:customStyle="1" w:styleId="cit-main2-ul2">
    <w:name w:val="cit-main2-ul2"/>
    <w:basedOn w:val="a"/>
    <w:pPr>
      <w:pBdr>
        <w:top w:val="single" w:sz="2" w:space="0" w:color="F2F2F2"/>
        <w:left w:val="single" w:sz="4" w:space="11" w:color="F2F2F2"/>
        <w:bottom w:val="single" w:sz="4" w:space="0" w:color="F2F2F2"/>
        <w:right w:val="single" w:sz="4" w:space="11" w:color="F2F2F2"/>
      </w:pBdr>
      <w:spacing w:before="100" w:beforeAutospacing="1" w:after="100" w:afterAutospacing="1"/>
    </w:pPr>
    <w:rPr>
      <w:vanish/>
    </w:rPr>
  </w:style>
  <w:style w:type="paragraph" w:customStyle="1" w:styleId="kis1">
    <w:name w:val="kis1"/>
    <w:basedOn w:val="a"/>
    <w:pPr>
      <w:spacing w:before="100" w:beforeAutospacing="1" w:after="100" w:afterAutospacing="1"/>
    </w:pPr>
  </w:style>
  <w:style w:type="paragraph" w:customStyle="1" w:styleId="kis2">
    <w:name w:val="kis2"/>
    <w:basedOn w:val="a"/>
    <w:pPr>
      <w:spacing w:before="100" w:beforeAutospacing="1" w:after="100" w:afterAutospacing="1"/>
      <w:jc w:val="right"/>
    </w:pPr>
  </w:style>
  <w:style w:type="paragraph" w:customStyle="1" w:styleId="k2is1">
    <w:name w:val="k2is1"/>
    <w:basedOn w:val="a"/>
    <w:pPr>
      <w:spacing w:before="100" w:beforeAutospacing="1" w:after="100" w:afterAutospacing="1"/>
    </w:pPr>
  </w:style>
  <w:style w:type="paragraph" w:customStyle="1" w:styleId="k2is2">
    <w:name w:val="k2is2"/>
    <w:basedOn w:val="a"/>
    <w:pPr>
      <w:spacing w:before="100" w:beforeAutospacing="1" w:after="100" w:afterAutospacing="1"/>
      <w:jc w:val="center"/>
    </w:pPr>
  </w:style>
  <w:style w:type="paragraph" w:customStyle="1" w:styleId="k2is3">
    <w:name w:val="k2is3"/>
    <w:basedOn w:val="a"/>
    <w:pPr>
      <w:spacing w:before="100" w:beforeAutospacing="1" w:after="100" w:afterAutospacing="1"/>
      <w:jc w:val="right"/>
    </w:pPr>
  </w:style>
  <w:style w:type="paragraph" w:customStyle="1" w:styleId="over">
    <w:name w:val="over"/>
    <w:basedOn w:val="a"/>
    <w:pPr>
      <w:spacing w:before="100" w:beforeAutospacing="1" w:after="100" w:afterAutospacing="1"/>
    </w:pPr>
  </w:style>
  <w:style w:type="paragraph" w:customStyle="1" w:styleId="cit-mail">
    <w:name w:val="cit-mail"/>
    <w:basedOn w:val="a"/>
    <w:pPr>
      <w:spacing w:before="100" w:beforeAutospacing="1" w:after="100" w:afterAutospacing="1"/>
    </w:pPr>
  </w:style>
  <w:style w:type="paragraph" w:customStyle="1" w:styleId="cit-mail-box">
    <w:name w:val="cit-mail-box"/>
    <w:basedOn w:val="a"/>
    <w:pPr>
      <w:pBdr>
        <w:top w:val="single" w:sz="2" w:space="30" w:color="F1F1F1"/>
        <w:left w:val="single" w:sz="4" w:space="9" w:color="F1F1F1"/>
        <w:bottom w:val="single" w:sz="4" w:space="0" w:color="F1F1F1"/>
        <w:right w:val="single" w:sz="4" w:space="9" w:color="F1F1F1"/>
      </w:pBdr>
      <w:spacing w:before="100" w:beforeAutospacing="1" w:after="100" w:afterAutospacing="1"/>
    </w:pPr>
  </w:style>
  <w:style w:type="paragraph" w:customStyle="1" w:styleId="cit-mail-box-ul1">
    <w:name w:val="cit-mail-box-ul1"/>
    <w:basedOn w:val="a"/>
    <w:pPr>
      <w:shd w:val="clear" w:color="auto" w:fill="6DBAFE"/>
      <w:spacing w:before="100" w:beforeAutospacing="1" w:after="100" w:afterAutospacing="1"/>
    </w:pPr>
  </w:style>
  <w:style w:type="paragraph" w:customStyle="1" w:styleId="bis1">
    <w:name w:val="bis1"/>
    <w:basedOn w:val="a"/>
    <w:pPr>
      <w:spacing w:before="100" w:beforeAutospacing="1" w:after="100" w:afterAutospacing="1"/>
    </w:pPr>
  </w:style>
  <w:style w:type="paragraph" w:customStyle="1" w:styleId="bis2">
    <w:name w:val="bis2"/>
    <w:basedOn w:val="a"/>
    <w:pPr>
      <w:spacing w:before="100" w:beforeAutospacing="1" w:after="100" w:afterAutospacing="1"/>
      <w:jc w:val="center"/>
    </w:pPr>
  </w:style>
  <w:style w:type="paragraph" w:customStyle="1" w:styleId="bis3">
    <w:name w:val="bis3"/>
    <w:basedOn w:val="a"/>
    <w:pPr>
      <w:spacing w:before="100" w:beforeAutospacing="1" w:after="100" w:afterAutospacing="1"/>
    </w:pPr>
  </w:style>
  <w:style w:type="paragraph" w:customStyle="1" w:styleId="bis4">
    <w:name w:val="bis4"/>
    <w:basedOn w:val="a"/>
    <w:pPr>
      <w:spacing w:before="100" w:beforeAutospacing="1" w:after="100" w:afterAutospacing="1"/>
    </w:pPr>
  </w:style>
  <w:style w:type="paragraph" w:customStyle="1" w:styleId="bis5">
    <w:name w:val="bis5"/>
    <w:basedOn w:val="a"/>
    <w:pPr>
      <w:spacing w:before="100" w:beforeAutospacing="1" w:after="100" w:afterAutospacing="1"/>
      <w:jc w:val="center"/>
    </w:pPr>
  </w:style>
  <w:style w:type="paragraph" w:customStyle="1" w:styleId="cit-mail-box-ul2">
    <w:name w:val="cit-mail-box-ul2"/>
    <w:basedOn w:val="a"/>
    <w:pPr>
      <w:spacing w:before="100" w:beforeAutospacing="1" w:after="1200"/>
    </w:pPr>
  </w:style>
  <w:style w:type="paragraph" w:customStyle="1" w:styleId="exchange-p">
    <w:name w:val="exchange-p"/>
    <w:basedOn w:val="a"/>
    <w:pPr>
      <w:spacing w:before="300" w:line="360" w:lineRule="atLeast"/>
    </w:pPr>
    <w:rPr>
      <w:color w:val="666666"/>
      <w:sz w:val="17"/>
      <w:szCs w:val="17"/>
    </w:rPr>
  </w:style>
  <w:style w:type="paragraph" w:customStyle="1" w:styleId="exchange-input1">
    <w:name w:val="exchange-input1"/>
    <w:basedOn w:val="a"/>
    <w:pPr>
      <w:pBdr>
        <w:top w:val="single" w:sz="4" w:space="0" w:color="CCCCCC"/>
        <w:left w:val="single" w:sz="4" w:space="6" w:color="CCCCCC"/>
        <w:bottom w:val="single" w:sz="4" w:space="0" w:color="CCCCCC"/>
        <w:right w:val="single" w:sz="4" w:space="6" w:color="CCCCCC"/>
      </w:pBdr>
      <w:spacing w:before="100" w:beforeAutospacing="1" w:after="100" w:afterAutospacing="1" w:line="336" w:lineRule="atLeast"/>
    </w:pPr>
    <w:rPr>
      <w:sz w:val="17"/>
      <w:szCs w:val="17"/>
    </w:rPr>
  </w:style>
  <w:style w:type="paragraph" w:customStyle="1" w:styleId="exchange-input2">
    <w:name w:val="exchange-input2"/>
    <w:basedOn w:val="a"/>
    <w:pPr>
      <w:pBdr>
        <w:top w:val="single" w:sz="4" w:space="0" w:color="CCCCCC"/>
        <w:left w:val="single" w:sz="4" w:space="6" w:color="CCCCCC"/>
        <w:bottom w:val="single" w:sz="4" w:space="0" w:color="CCCCCC"/>
        <w:right w:val="single" w:sz="4" w:space="6" w:color="CCCCCC"/>
      </w:pBdr>
      <w:spacing w:before="100" w:beforeAutospacing="1" w:after="100" w:afterAutospacing="1" w:line="336" w:lineRule="atLeast"/>
    </w:pPr>
    <w:rPr>
      <w:sz w:val="17"/>
      <w:szCs w:val="17"/>
    </w:rPr>
  </w:style>
  <w:style w:type="paragraph" w:customStyle="1" w:styleId="exchange-input3">
    <w:name w:val="exchange-input3"/>
    <w:basedOn w:val="a"/>
    <w:pPr>
      <w:pBdr>
        <w:top w:val="single" w:sz="4" w:space="0" w:color="CCCCCC"/>
        <w:left w:val="single" w:sz="4" w:space="6" w:color="CCCCCC"/>
        <w:bottom w:val="single" w:sz="4" w:space="0" w:color="CCCCCC"/>
        <w:right w:val="single" w:sz="4" w:space="6" w:color="CCCCCC"/>
      </w:pBdr>
      <w:spacing w:before="100" w:beforeAutospacing="1" w:after="100" w:afterAutospacing="1" w:line="336" w:lineRule="atLeast"/>
    </w:pPr>
    <w:rPr>
      <w:sz w:val="17"/>
      <w:szCs w:val="17"/>
    </w:rPr>
  </w:style>
  <w:style w:type="paragraph" w:customStyle="1" w:styleId="emchange-em">
    <w:name w:val="emchange-em"/>
    <w:basedOn w:val="a"/>
    <w:pPr>
      <w:spacing w:before="100" w:beforeAutospacing="1" w:after="100" w:afterAutospacing="1" w:line="360" w:lineRule="atLeast"/>
    </w:pPr>
    <w:rPr>
      <w:color w:val="FF0000"/>
    </w:rPr>
  </w:style>
  <w:style w:type="paragraph" w:customStyle="1" w:styleId="emchange-em2">
    <w:name w:val="emchange-em2"/>
    <w:basedOn w:val="a"/>
    <w:pPr>
      <w:spacing w:before="100" w:beforeAutospacing="1" w:after="100" w:afterAutospacing="1" w:line="360" w:lineRule="atLeast"/>
    </w:pPr>
    <w:rPr>
      <w:color w:val="71C2C9"/>
    </w:rPr>
  </w:style>
  <w:style w:type="paragraph" w:customStyle="1" w:styleId="exchange-btn">
    <w:name w:val="exchange-btn"/>
    <w:basedOn w:val="a"/>
    <w:pPr>
      <w:shd w:val="clear" w:color="auto" w:fill="00A0E9"/>
      <w:spacing w:before="100" w:beforeAutospacing="1" w:after="100" w:afterAutospacing="1"/>
    </w:pPr>
    <w:rPr>
      <w:color w:val="FFFFFF"/>
      <w:sz w:val="22"/>
      <w:szCs w:val="22"/>
    </w:rPr>
  </w:style>
  <w:style w:type="paragraph" w:customStyle="1" w:styleId="exchange-btn2">
    <w:name w:val="exchange-btn2"/>
    <w:basedOn w:val="a"/>
    <w:pPr>
      <w:shd w:val="clear" w:color="auto" w:fill="83C56A"/>
      <w:spacing w:before="100" w:beforeAutospacing="1" w:after="240"/>
      <w:ind w:right="240"/>
    </w:pPr>
    <w:rPr>
      <w:color w:val="FFFFFF"/>
      <w:sz w:val="22"/>
      <w:szCs w:val="22"/>
    </w:rPr>
  </w:style>
  <w:style w:type="paragraph" w:customStyle="1" w:styleId="exchange-btn3">
    <w:name w:val="exchange-btn3"/>
    <w:basedOn w:val="a"/>
    <w:pPr>
      <w:shd w:val="clear" w:color="auto" w:fill="AAAAAA"/>
      <w:spacing w:before="100" w:beforeAutospacing="1" w:after="240"/>
      <w:ind w:right="240"/>
    </w:pPr>
    <w:rPr>
      <w:color w:val="FFFFFF"/>
      <w:sz w:val="22"/>
      <w:szCs w:val="22"/>
    </w:rPr>
  </w:style>
  <w:style w:type="paragraph" w:customStyle="1" w:styleId="exchange-em">
    <w:name w:val="exchange-em"/>
    <w:basedOn w:val="a"/>
    <w:pPr>
      <w:ind w:left="120" w:right="120"/>
    </w:pPr>
  </w:style>
  <w:style w:type="paragraph" w:customStyle="1" w:styleId="exchange-ps">
    <w:name w:val="exchange-ps"/>
    <w:basedOn w:val="a"/>
    <w:pPr>
      <w:spacing w:before="100" w:beforeAutospacing="1" w:after="100" w:afterAutospacing="1" w:line="360" w:lineRule="atLeast"/>
    </w:pPr>
    <w:rPr>
      <w:color w:val="FF0000"/>
      <w:sz w:val="17"/>
      <w:szCs w:val="17"/>
    </w:rPr>
  </w:style>
  <w:style w:type="paragraph" w:customStyle="1" w:styleId="exchange-yzm">
    <w:name w:val="exchange-yzm"/>
    <w:basedOn w:val="a"/>
    <w:pPr>
      <w:spacing w:before="100" w:beforeAutospacing="1" w:after="100" w:afterAutospacing="1"/>
      <w:ind w:left="144"/>
    </w:pPr>
  </w:style>
  <w:style w:type="paragraph" w:customStyle="1" w:styleId="cit-write-left">
    <w:name w:val="cit-write-left"/>
    <w:basedOn w:val="a"/>
    <w:pPr>
      <w:spacing w:before="100" w:beforeAutospacing="1" w:after="100" w:afterAutospacing="1"/>
    </w:pPr>
  </w:style>
  <w:style w:type="paragraph" w:customStyle="1" w:styleId="cit-write-right">
    <w:name w:val="cit-write-right"/>
    <w:basedOn w:val="a"/>
    <w:pPr>
      <w:spacing w:before="100" w:beforeAutospacing="1" w:after="100" w:afterAutospacing="1"/>
    </w:pPr>
  </w:style>
  <w:style w:type="paragraph" w:customStyle="1" w:styleId="cit-write-gg">
    <w:name w:val="cit-write-gg"/>
    <w:basedOn w:val="a"/>
    <w:pPr>
      <w:shd w:val="clear" w:color="auto" w:fill="83C56A"/>
      <w:spacing w:before="100" w:beforeAutospacing="1" w:after="100" w:afterAutospacing="1"/>
    </w:pPr>
  </w:style>
  <w:style w:type="paragraph" w:customStyle="1" w:styleId="cit-write-ul">
    <w:name w:val="cit-write-ul"/>
    <w:basedOn w:val="a"/>
    <w:pPr>
      <w:spacing w:before="100" w:beforeAutospacing="1" w:after="100" w:afterAutospacing="1"/>
    </w:pPr>
  </w:style>
  <w:style w:type="paragraph" w:customStyle="1" w:styleId="cit-write-em1">
    <w:name w:val="cit-write-em1"/>
    <w:basedOn w:val="a"/>
    <w:pPr>
      <w:spacing w:before="100" w:beforeAutospacing="1" w:after="100" w:afterAutospacing="1"/>
    </w:pPr>
  </w:style>
  <w:style w:type="paragraph" w:customStyle="1" w:styleId="cit-write-em2">
    <w:name w:val="cit-write-em2"/>
    <w:basedOn w:val="a"/>
    <w:pPr>
      <w:spacing w:before="100" w:beforeAutospacing="1" w:after="100" w:afterAutospacing="1"/>
    </w:pPr>
  </w:style>
  <w:style w:type="paragraph" w:customStyle="1" w:styleId="cit-write-em3">
    <w:name w:val="cit-write-em3"/>
    <w:basedOn w:val="a"/>
    <w:pPr>
      <w:spacing w:before="100" w:beforeAutospacing="1" w:after="100" w:afterAutospacing="1"/>
    </w:pPr>
  </w:style>
  <w:style w:type="paragraph" w:customStyle="1" w:styleId="cit-write-em4">
    <w:name w:val="cit-write-em4"/>
    <w:basedOn w:val="a"/>
    <w:pPr>
      <w:spacing w:before="100" w:beforeAutospacing="1" w:after="100" w:afterAutospacing="1"/>
    </w:pPr>
  </w:style>
  <w:style w:type="paragraph" w:customStyle="1" w:styleId="write-main1">
    <w:name w:val="write-main1"/>
    <w:basedOn w:val="a"/>
    <w:pPr>
      <w:pBdr>
        <w:top w:val="single" w:sz="2" w:space="9" w:color="F1F1F1"/>
        <w:left w:val="single" w:sz="4" w:space="9" w:color="F1F1F1"/>
        <w:bottom w:val="single" w:sz="4" w:space="9" w:color="F1F1F1"/>
        <w:right w:val="single" w:sz="4" w:space="9" w:color="F1F1F1"/>
      </w:pBdr>
      <w:spacing w:before="100" w:beforeAutospacing="1" w:after="100" w:afterAutospacing="1"/>
    </w:pPr>
  </w:style>
  <w:style w:type="paragraph" w:customStyle="1" w:styleId="exchange-select">
    <w:name w:val="exchange-select"/>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exchange-p2">
    <w:name w:val="exchange-p2"/>
    <w:basedOn w:val="a"/>
    <w:pPr>
      <w:spacing w:before="60" w:after="60" w:line="360" w:lineRule="atLeast"/>
    </w:pPr>
    <w:rPr>
      <w:color w:val="666666"/>
      <w:sz w:val="17"/>
      <w:szCs w:val="17"/>
    </w:rPr>
  </w:style>
  <w:style w:type="paragraph" w:customStyle="1" w:styleId="exchange-p2-input1">
    <w:name w:val="exchange-p2-input1"/>
    <w:basedOn w:val="a"/>
    <w:pPr>
      <w:pBdr>
        <w:top w:val="single" w:sz="4" w:space="0" w:color="CCCCCC"/>
        <w:left w:val="single" w:sz="4" w:space="6" w:color="CCCCCC"/>
        <w:bottom w:val="single" w:sz="4" w:space="0" w:color="CCCCCC"/>
        <w:right w:val="single" w:sz="4" w:space="6" w:color="CCCCCC"/>
      </w:pBdr>
      <w:spacing w:before="100" w:beforeAutospacing="1" w:after="100" w:afterAutospacing="1" w:line="336" w:lineRule="atLeast"/>
    </w:pPr>
    <w:rPr>
      <w:sz w:val="17"/>
      <w:szCs w:val="17"/>
    </w:rPr>
  </w:style>
  <w:style w:type="paragraph" w:customStyle="1" w:styleId="exchange-ps2">
    <w:name w:val="exchange-ps2"/>
    <w:basedOn w:val="a"/>
    <w:pPr>
      <w:spacing w:before="100" w:beforeAutospacing="1" w:after="100" w:afterAutospacing="1" w:line="360" w:lineRule="atLeast"/>
      <w:ind w:left="1500"/>
    </w:pPr>
    <w:rPr>
      <w:color w:val="FF0000"/>
      <w:sz w:val="17"/>
      <w:szCs w:val="17"/>
    </w:rPr>
  </w:style>
  <w:style w:type="paragraph" w:customStyle="1" w:styleId="inv-nav">
    <w:name w:val="inv-nav"/>
    <w:basedOn w:val="a"/>
    <w:pPr>
      <w:spacing w:before="100" w:beforeAutospacing="1" w:after="100" w:afterAutospacing="1"/>
    </w:pPr>
  </w:style>
  <w:style w:type="paragraph" w:customStyle="1" w:styleId="inv-back1">
    <w:name w:val="inv-back1"/>
    <w:basedOn w:val="a"/>
    <w:pPr>
      <w:shd w:val="clear" w:color="auto" w:fill="C50532"/>
      <w:spacing w:before="100" w:beforeAutospacing="1" w:after="100" w:afterAutospacing="1"/>
    </w:pPr>
  </w:style>
  <w:style w:type="paragraph" w:customStyle="1" w:styleId="inv-back2">
    <w:name w:val="inv-back2"/>
    <w:basedOn w:val="a"/>
    <w:pPr>
      <w:shd w:val="clear" w:color="auto" w:fill="E64505"/>
      <w:spacing w:before="100" w:beforeAutospacing="1" w:after="100" w:afterAutospacing="1"/>
    </w:pPr>
  </w:style>
  <w:style w:type="paragraph" w:customStyle="1" w:styleId="inv-back3">
    <w:name w:val="inv-back3"/>
    <w:basedOn w:val="a"/>
    <w:pPr>
      <w:shd w:val="clear" w:color="auto" w:fill="FAA706"/>
      <w:spacing w:before="100" w:beforeAutospacing="1" w:after="100" w:afterAutospacing="1"/>
    </w:pPr>
  </w:style>
  <w:style w:type="paragraph" w:customStyle="1" w:styleId="inv-back4">
    <w:name w:val="inv-back4"/>
    <w:basedOn w:val="a"/>
    <w:pPr>
      <w:shd w:val="clear" w:color="auto" w:fill="1399A5"/>
      <w:spacing w:before="100" w:beforeAutospacing="1" w:after="100" w:afterAutospacing="1"/>
    </w:pPr>
  </w:style>
  <w:style w:type="paragraph" w:customStyle="1" w:styleId="inv-back5">
    <w:name w:val="inv-back5"/>
    <w:basedOn w:val="a"/>
    <w:pPr>
      <w:shd w:val="clear" w:color="auto" w:fill="76078E"/>
      <w:spacing w:before="100" w:beforeAutospacing="1" w:after="100" w:afterAutospacing="1"/>
    </w:pPr>
  </w:style>
  <w:style w:type="paragraph" w:customStyle="1" w:styleId="inv-back6">
    <w:name w:val="inv-back6"/>
    <w:basedOn w:val="a"/>
    <w:pPr>
      <w:shd w:val="clear" w:color="auto" w:fill="72A2EE"/>
      <w:spacing w:before="100" w:beforeAutospacing="1" w:after="100" w:afterAutospacing="1"/>
    </w:pPr>
  </w:style>
  <w:style w:type="paragraph" w:customStyle="1" w:styleId="inv-main1">
    <w:name w:val="inv-main1"/>
    <w:basedOn w:val="a"/>
    <w:pPr>
      <w:spacing w:before="100" w:beforeAutospacing="1" w:after="100" w:afterAutospacing="1"/>
    </w:pPr>
  </w:style>
  <w:style w:type="paragraph" w:customStyle="1" w:styleId="inv-title">
    <w:name w:val="inv-title"/>
    <w:basedOn w:val="a"/>
    <w:pPr>
      <w:spacing w:before="100" w:beforeAutospacing="1" w:after="100" w:afterAutospacing="1" w:line="540" w:lineRule="atLeast"/>
      <w:jc w:val="center"/>
    </w:pPr>
    <w:rPr>
      <w:color w:val="FFFFFF"/>
      <w:sz w:val="19"/>
      <w:szCs w:val="19"/>
    </w:rPr>
  </w:style>
  <w:style w:type="paragraph" w:customStyle="1" w:styleId="inv-main1-list">
    <w:name w:val="inv-main1-list"/>
    <w:basedOn w:val="a"/>
    <w:pPr>
      <w:spacing w:before="100" w:beforeAutospacing="1" w:after="100" w:afterAutospacing="1"/>
    </w:pPr>
  </w:style>
  <w:style w:type="paragraph" w:customStyle="1" w:styleId="inv-main2">
    <w:name w:val="inv-main2"/>
    <w:basedOn w:val="a"/>
    <w:pPr>
      <w:spacing w:before="240" w:after="100" w:afterAutospacing="1"/>
    </w:pPr>
  </w:style>
  <w:style w:type="paragraph" w:customStyle="1" w:styleId="inv-main2-left">
    <w:name w:val="inv-main2-left"/>
    <w:basedOn w:val="a"/>
    <w:pPr>
      <w:spacing w:before="100" w:beforeAutospacing="1" w:after="100" w:afterAutospacing="1"/>
    </w:pPr>
  </w:style>
  <w:style w:type="paragraph" w:customStyle="1" w:styleId="inv-main2-right">
    <w:name w:val="inv-main2-right"/>
    <w:basedOn w:val="a"/>
    <w:pPr>
      <w:spacing w:before="100" w:beforeAutospacing="1" w:after="100" w:afterAutospacing="1"/>
    </w:pPr>
  </w:style>
  <w:style w:type="paragraph" w:customStyle="1" w:styleId="title-a">
    <w:name w:val="title-a"/>
    <w:basedOn w:val="a"/>
    <w:pPr>
      <w:spacing w:before="100" w:beforeAutospacing="1" w:after="100" w:afterAutospacing="1" w:line="540" w:lineRule="atLeast"/>
    </w:pPr>
    <w:rPr>
      <w:color w:val="333333"/>
      <w:sz w:val="17"/>
      <w:szCs w:val="17"/>
    </w:rPr>
  </w:style>
  <w:style w:type="paragraph" w:customStyle="1" w:styleId="inv-main2-left1-ul">
    <w:name w:val="inv-main2-left1-ul"/>
    <w:basedOn w:val="a"/>
    <w:pPr>
      <w:shd w:val="clear" w:color="auto" w:fill="BAE2FF"/>
      <w:spacing w:before="100" w:beforeAutospacing="1" w:after="100" w:afterAutospacing="1"/>
    </w:pPr>
  </w:style>
  <w:style w:type="paragraph" w:customStyle="1" w:styleId="inv-main2-left2">
    <w:name w:val="inv-main2-left2"/>
    <w:basedOn w:val="a"/>
    <w:pPr>
      <w:spacing w:before="360" w:after="100" w:afterAutospacing="1"/>
    </w:pPr>
  </w:style>
  <w:style w:type="paragraph" w:customStyle="1" w:styleId="inv-main2-left2-ul">
    <w:name w:val="inv-main2-left2-ul"/>
    <w:basedOn w:val="a"/>
    <w:pPr>
      <w:shd w:val="clear" w:color="auto" w:fill="FFF9ED"/>
      <w:spacing w:before="100" w:beforeAutospacing="1" w:after="100" w:afterAutospacing="1"/>
    </w:pPr>
    <w:rPr>
      <w:vanish/>
    </w:rPr>
  </w:style>
  <w:style w:type="paragraph" w:customStyle="1" w:styleId="inv-main2-right-title">
    <w:name w:val="inv-main2-right-title"/>
    <w:basedOn w:val="a"/>
    <w:pPr>
      <w:spacing w:before="60" w:after="60"/>
    </w:pPr>
  </w:style>
  <w:style w:type="paragraph" w:customStyle="1" w:styleId="inv-main2-right-text">
    <w:name w:val="inv-main2-right-text"/>
    <w:basedOn w:val="a"/>
    <w:pPr>
      <w:shd w:val="clear" w:color="auto" w:fill="32BFCC"/>
      <w:spacing w:before="100" w:beforeAutospacing="1" w:after="100" w:afterAutospacing="1"/>
    </w:pPr>
    <w:rPr>
      <w:vanish/>
    </w:rPr>
  </w:style>
  <w:style w:type="paragraph" w:customStyle="1" w:styleId="lead-list">
    <w:name w:val="lead-list"/>
    <w:basedOn w:val="a"/>
    <w:pPr>
      <w:spacing w:before="100" w:beforeAutospacing="1" w:after="360"/>
    </w:pPr>
  </w:style>
  <w:style w:type="paragraph" w:customStyle="1" w:styleId="lead-mail">
    <w:name w:val="lead-mail"/>
    <w:basedOn w:val="a"/>
    <w:pPr>
      <w:pBdr>
        <w:bottom w:val="single" w:sz="4" w:space="0" w:color="F1F1F1"/>
      </w:pBdr>
      <w:spacing w:before="100" w:beforeAutospacing="1" w:after="100" w:afterAutospacing="1"/>
    </w:pPr>
  </w:style>
  <w:style w:type="paragraph" w:customStyle="1" w:styleId="lead-h1">
    <w:name w:val="lead-h1"/>
    <w:basedOn w:val="a"/>
    <w:pPr>
      <w:shd w:val="clear" w:color="auto" w:fill="4CA7EC"/>
      <w:spacing w:before="240" w:after="240" w:line="384" w:lineRule="atLeast"/>
    </w:pPr>
    <w:rPr>
      <w:color w:val="FFFFFF"/>
      <w:sz w:val="17"/>
      <w:szCs w:val="17"/>
    </w:rPr>
  </w:style>
  <w:style w:type="paragraph" w:customStyle="1" w:styleId="cit-main-read-h2">
    <w:name w:val="cit-main-read-h2"/>
    <w:basedOn w:val="a"/>
    <w:pPr>
      <w:shd w:val="clear" w:color="auto" w:fill="6DBAFE"/>
      <w:spacing w:before="100" w:beforeAutospacing="1" w:after="120" w:line="420" w:lineRule="atLeast"/>
    </w:pPr>
    <w:rPr>
      <w:color w:val="FFFFFF"/>
      <w:sz w:val="19"/>
      <w:szCs w:val="19"/>
    </w:rPr>
  </w:style>
  <w:style w:type="paragraph" w:customStyle="1" w:styleId="cit-read-label">
    <w:name w:val="cit-read-label"/>
    <w:basedOn w:val="a"/>
    <w:pPr>
      <w:spacing w:before="100" w:beforeAutospacing="1" w:after="100" w:afterAutospacing="1"/>
    </w:pPr>
    <w:rPr>
      <w:sz w:val="19"/>
      <w:szCs w:val="19"/>
    </w:rPr>
  </w:style>
  <w:style w:type="paragraph" w:customStyle="1" w:styleId="cit-main-read-h3">
    <w:name w:val="cit-main-read-h3"/>
    <w:basedOn w:val="a"/>
    <w:pPr>
      <w:shd w:val="clear" w:color="auto" w:fill="D3EAFF"/>
      <w:spacing w:before="100" w:beforeAutospacing="1" w:after="120" w:line="420" w:lineRule="atLeast"/>
    </w:pPr>
    <w:rPr>
      <w:color w:val="666666"/>
      <w:sz w:val="19"/>
      <w:szCs w:val="19"/>
    </w:rPr>
  </w:style>
  <w:style w:type="paragraph" w:customStyle="1" w:styleId="label2-box">
    <w:name w:val="label2-box"/>
    <w:basedOn w:val="a"/>
    <w:pPr>
      <w:spacing w:before="100" w:beforeAutospacing="1" w:after="100" w:afterAutospacing="1"/>
    </w:pPr>
  </w:style>
  <w:style w:type="paragraph" w:customStyle="1" w:styleId="cit-mail-search">
    <w:name w:val="cit-mail-search"/>
    <w:basedOn w:val="a"/>
    <w:pPr>
      <w:pBdr>
        <w:top w:val="single" w:sz="2" w:space="12" w:color="F1F1F1"/>
        <w:left w:val="single" w:sz="4" w:space="0" w:color="F1F1F1"/>
        <w:bottom w:val="single" w:sz="2" w:space="12" w:color="F1F1F1"/>
        <w:right w:val="single" w:sz="4" w:space="0" w:color="F1F1F1"/>
      </w:pBdr>
      <w:spacing w:before="100" w:beforeAutospacing="1" w:after="100" w:afterAutospacing="1"/>
    </w:pPr>
  </w:style>
  <w:style w:type="paragraph" w:customStyle="1" w:styleId="cit-mail-search-p">
    <w:name w:val="cit-mail-search-p"/>
    <w:basedOn w:val="a"/>
    <w:pPr>
      <w:spacing w:before="100" w:beforeAutospacing="1" w:after="100" w:afterAutospacing="1" w:line="360" w:lineRule="atLeast"/>
    </w:pPr>
    <w:rPr>
      <w:color w:val="666666"/>
      <w:sz w:val="19"/>
      <w:szCs w:val="19"/>
    </w:rPr>
  </w:style>
  <w:style w:type="paragraph" w:customStyle="1" w:styleId="cit-seek-text">
    <w:name w:val="cit-seek-text"/>
    <w:basedOn w:val="a"/>
    <w:pPr>
      <w:shd w:val="clear" w:color="auto" w:fill="FFF8ED"/>
      <w:spacing w:before="100" w:beforeAutospacing="1" w:after="100" w:afterAutospacing="1"/>
    </w:pPr>
    <w:rPr>
      <w:sz w:val="17"/>
      <w:szCs w:val="17"/>
    </w:rPr>
  </w:style>
  <w:style w:type="paragraph" w:customStyle="1" w:styleId="cit-main2">
    <w:name w:val="cit-main2"/>
    <w:basedOn w:val="a"/>
    <w:pPr>
      <w:spacing w:before="480"/>
    </w:pPr>
  </w:style>
  <w:style w:type="paragraph" w:customStyle="1" w:styleId="cit-mail2-box">
    <w:name w:val="cit-mail2-box"/>
    <w:basedOn w:val="a"/>
    <w:pPr>
      <w:spacing w:before="100" w:beforeAutospacing="1" w:after="100" w:afterAutospacing="1"/>
      <w:jc w:val="center"/>
    </w:pPr>
  </w:style>
  <w:style w:type="paragraph" w:customStyle="1" w:styleId="cit-mail-list-ul1">
    <w:name w:val="cit-mail-list-ul1"/>
    <w:basedOn w:val="a"/>
    <w:pPr>
      <w:spacing w:before="100" w:beforeAutospacing="1" w:after="100" w:afterAutospacing="1"/>
    </w:pPr>
  </w:style>
  <w:style w:type="paragraph" w:customStyle="1" w:styleId="cit-mail-list">
    <w:name w:val="cit-mail-list"/>
    <w:basedOn w:val="a"/>
    <w:pPr>
      <w:pBdr>
        <w:top w:val="single" w:sz="2" w:space="12" w:color="F1F1F1"/>
        <w:left w:val="single" w:sz="4" w:space="12" w:color="F1F1F1"/>
        <w:bottom w:val="single" w:sz="4" w:space="12" w:color="F1F1F1"/>
        <w:right w:val="single" w:sz="4" w:space="12" w:color="F1F1F1"/>
      </w:pBdr>
      <w:spacing w:before="100" w:beforeAutospacing="1" w:after="100" w:afterAutospacing="1"/>
    </w:pPr>
  </w:style>
  <w:style w:type="paragraph" w:customStyle="1" w:styleId="cit-mail-list-ul2">
    <w:name w:val="cit-mail-list-ul2"/>
    <w:basedOn w:val="a"/>
    <w:pPr>
      <w:spacing w:before="100" w:beforeAutospacing="1" w:after="100" w:afterAutospacing="1"/>
    </w:pPr>
    <w:rPr>
      <w:vanish/>
    </w:rPr>
  </w:style>
  <w:style w:type="paragraph" w:customStyle="1" w:styleId="cit-mail-list-a">
    <w:name w:val="cit-mail-list-a"/>
    <w:basedOn w:val="a"/>
    <w:pPr>
      <w:spacing w:before="100" w:beforeAutospacing="1" w:after="100" w:afterAutospacing="1" w:line="396" w:lineRule="atLeast"/>
      <w:jc w:val="center"/>
    </w:pPr>
    <w:rPr>
      <w:color w:val="FFFFFF"/>
      <w:sz w:val="17"/>
      <w:szCs w:val="17"/>
    </w:rPr>
  </w:style>
  <w:style w:type="paragraph" w:customStyle="1" w:styleId="file-a">
    <w:name w:val="file-a"/>
    <w:basedOn w:val="a"/>
    <w:pPr>
      <w:shd w:val="clear" w:color="auto" w:fill="83C56A"/>
      <w:spacing w:before="100" w:beforeAutospacing="1" w:after="100" w:afterAutospacing="1" w:line="360" w:lineRule="atLeast"/>
      <w:jc w:val="center"/>
    </w:pPr>
    <w:rPr>
      <w:color w:val="FFFFFF"/>
      <w:sz w:val="17"/>
      <w:szCs w:val="17"/>
    </w:rPr>
  </w:style>
  <w:style w:type="paragraph" w:customStyle="1" w:styleId="file-text">
    <w:name w:val="file-text"/>
    <w:basedOn w:val="a"/>
    <w:pPr>
      <w:pBdr>
        <w:top w:val="single" w:sz="4" w:space="0" w:color="CCCCCC"/>
        <w:left w:val="single" w:sz="4" w:space="6" w:color="CCCCCC"/>
        <w:bottom w:val="single" w:sz="4" w:space="0" w:color="CCCCCC"/>
        <w:right w:val="single" w:sz="2" w:space="6" w:color="CCCCCC"/>
      </w:pBdr>
      <w:spacing w:before="100" w:beforeAutospacing="1" w:after="100" w:afterAutospacing="1"/>
    </w:pPr>
  </w:style>
  <w:style w:type="paragraph" w:customStyle="1" w:styleId="into-page-title">
    <w:name w:val="into-page-title"/>
    <w:basedOn w:val="a"/>
    <w:pPr>
      <w:spacing w:before="12" w:after="100" w:afterAutospacing="1"/>
    </w:pPr>
  </w:style>
  <w:style w:type="paragraph" w:customStyle="1" w:styleId="into-page-laiy">
    <w:name w:val="into-page-laiy"/>
    <w:basedOn w:val="a"/>
    <w:pPr>
      <w:shd w:val="clear" w:color="auto" w:fill="FFE8CD"/>
      <w:spacing w:before="100" w:beforeAutospacing="1" w:after="120" w:line="360" w:lineRule="atLeast"/>
      <w:jc w:val="center"/>
    </w:pPr>
  </w:style>
  <w:style w:type="paragraph" w:customStyle="1" w:styleId="ins-index-con-list">
    <w:name w:val="ins-index-con-list"/>
    <w:basedOn w:val="a"/>
    <w:pPr>
      <w:spacing w:before="100" w:beforeAutospacing="1" w:after="100" w:afterAutospacing="1"/>
    </w:pPr>
  </w:style>
  <w:style w:type="paragraph" w:customStyle="1" w:styleId="ins-con-box">
    <w:name w:val="ins-con-box"/>
    <w:basedOn w:val="a"/>
    <w:pPr>
      <w:spacing w:before="100" w:beforeAutospacing="1" w:after="180"/>
    </w:pPr>
  </w:style>
  <w:style w:type="paragraph" w:customStyle="1" w:styleId="top">
    <w:name w:val="top"/>
    <w:basedOn w:val="a"/>
    <w:pPr>
      <w:pBdr>
        <w:bottom w:val="single" w:sz="12" w:space="0" w:color="0168B7"/>
      </w:pBdr>
      <w:spacing w:before="100" w:beforeAutospacing="1" w:after="100" w:afterAutospacing="1"/>
    </w:pPr>
  </w:style>
  <w:style w:type="paragraph" w:customStyle="1" w:styleId="top-left">
    <w:name w:val="top-left"/>
    <w:basedOn w:val="a"/>
    <w:pPr>
      <w:spacing w:before="100" w:beforeAutospacing="1" w:after="100" w:afterAutospacing="1" w:line="576" w:lineRule="atLeast"/>
    </w:pPr>
    <w:rPr>
      <w:sz w:val="17"/>
      <w:szCs w:val="17"/>
    </w:rPr>
  </w:style>
  <w:style w:type="paragraph" w:customStyle="1" w:styleId="top-right">
    <w:name w:val="top-right"/>
    <w:basedOn w:val="a"/>
    <w:pPr>
      <w:spacing w:before="100" w:beforeAutospacing="1" w:after="100" w:afterAutospacing="1"/>
    </w:pPr>
  </w:style>
  <w:style w:type="paragraph" w:customStyle="1" w:styleId="main1">
    <w:name w:val="main1"/>
    <w:basedOn w:val="a"/>
    <w:pPr>
      <w:spacing w:before="100" w:beforeAutospacing="1" w:after="100" w:afterAutospacing="1"/>
    </w:pPr>
  </w:style>
  <w:style w:type="paragraph" w:customStyle="1" w:styleId="public">
    <w:name w:val="public"/>
    <w:basedOn w:val="a"/>
    <w:pPr>
      <w:shd w:val="clear" w:color="auto" w:fill="FFFFFF"/>
      <w:spacing w:before="100" w:beforeAutospacing="1" w:after="100" w:afterAutospacing="1"/>
    </w:pPr>
  </w:style>
  <w:style w:type="paragraph" w:customStyle="1" w:styleId="public2">
    <w:name w:val="public2"/>
    <w:basedOn w:val="a"/>
    <w:pPr>
      <w:shd w:val="clear" w:color="auto" w:fill="FFFFFF"/>
      <w:spacing w:before="100" w:beforeAutospacing="1" w:after="100" w:afterAutospacing="1"/>
    </w:pPr>
  </w:style>
  <w:style w:type="paragraph" w:customStyle="1" w:styleId="public1">
    <w:name w:val="public1"/>
    <w:basedOn w:val="a"/>
    <w:pPr>
      <w:spacing w:before="100" w:beforeAutospacing="1" w:after="360"/>
    </w:pPr>
  </w:style>
  <w:style w:type="paragraph" w:customStyle="1" w:styleId="public-title">
    <w:name w:val="public-title"/>
    <w:basedOn w:val="a"/>
    <w:pPr>
      <w:shd w:val="clear" w:color="auto" w:fill="69C6FF"/>
      <w:spacing w:before="100" w:beforeAutospacing="1" w:after="100" w:afterAutospacing="1" w:line="456" w:lineRule="atLeast"/>
    </w:pPr>
    <w:rPr>
      <w:color w:val="FFFFFF"/>
      <w:sz w:val="19"/>
      <w:szCs w:val="19"/>
    </w:rPr>
  </w:style>
  <w:style w:type="paragraph" w:customStyle="1" w:styleId="public-box">
    <w:name w:val="public-box"/>
    <w:basedOn w:val="a"/>
    <w:pPr>
      <w:pBdr>
        <w:left w:val="single" w:sz="4" w:space="9" w:color="F1F1F1"/>
        <w:bottom w:val="single" w:sz="4" w:space="9" w:color="F1F1F1"/>
        <w:right w:val="single" w:sz="4" w:space="9" w:color="F1F1F1"/>
      </w:pBdr>
      <w:spacing w:before="100" w:beforeAutospacing="1" w:after="100" w:afterAutospacing="1"/>
    </w:pPr>
  </w:style>
  <w:style w:type="paragraph" w:customStyle="1" w:styleId="public-box2">
    <w:name w:val="public-box2"/>
    <w:basedOn w:val="a"/>
    <w:pPr>
      <w:pBdr>
        <w:left w:val="single" w:sz="4" w:space="9" w:color="F1F1F1"/>
        <w:bottom w:val="single" w:sz="4" w:space="9" w:color="F1F1F1"/>
        <w:right w:val="single" w:sz="4" w:space="9" w:color="F1F1F1"/>
      </w:pBdr>
      <w:shd w:val="clear" w:color="auto" w:fill="F7FCFF"/>
      <w:spacing w:before="100" w:beforeAutospacing="1" w:after="100" w:afterAutospacing="1"/>
    </w:pPr>
  </w:style>
  <w:style w:type="paragraph" w:customStyle="1" w:styleId="public-label">
    <w:name w:val="public-label"/>
    <w:basedOn w:val="a"/>
    <w:pPr>
      <w:spacing w:before="120" w:after="100" w:afterAutospacing="1"/>
      <w:jc w:val="center"/>
    </w:pPr>
  </w:style>
  <w:style w:type="paragraph" w:customStyle="1" w:styleId="public-span">
    <w:name w:val="public-span"/>
    <w:basedOn w:val="a"/>
    <w:pPr>
      <w:spacing w:before="100" w:beforeAutospacing="1" w:after="100" w:afterAutospacing="1"/>
      <w:ind w:right="36"/>
    </w:pPr>
    <w:rPr>
      <w:sz w:val="14"/>
      <w:szCs w:val="14"/>
    </w:rPr>
  </w:style>
  <w:style w:type="paragraph" w:customStyle="1" w:styleId="public-input">
    <w:name w:val="public-input"/>
    <w:basedOn w:val="a"/>
    <w:pPr>
      <w:pBdr>
        <w:top w:val="single" w:sz="4" w:space="0" w:color="707070"/>
        <w:left w:val="single" w:sz="4" w:space="0" w:color="707070"/>
        <w:bottom w:val="single" w:sz="4" w:space="0" w:color="707070"/>
        <w:right w:val="single" w:sz="4" w:space="0" w:color="707070"/>
      </w:pBdr>
      <w:spacing w:before="100" w:beforeAutospacing="1" w:after="100" w:afterAutospacing="1"/>
      <w:ind w:right="36"/>
    </w:pPr>
  </w:style>
  <w:style w:type="paragraph" w:customStyle="1" w:styleId="public-select">
    <w:name w:val="public-select"/>
    <w:basedOn w:val="a"/>
    <w:pPr>
      <w:pBdr>
        <w:top w:val="single" w:sz="4" w:space="0" w:color="707070"/>
        <w:left w:val="single" w:sz="4" w:space="0" w:color="707070"/>
        <w:bottom w:val="single" w:sz="4" w:space="0" w:color="707070"/>
        <w:right w:val="single" w:sz="4" w:space="0" w:color="707070"/>
      </w:pBdr>
      <w:spacing w:before="100" w:beforeAutospacing="1" w:after="100" w:afterAutospacing="1"/>
      <w:ind w:right="36"/>
    </w:pPr>
  </w:style>
  <w:style w:type="paragraph" w:customStyle="1" w:styleId="public-button">
    <w:name w:val="public-button"/>
    <w:basedOn w:val="a"/>
    <w:pPr>
      <w:spacing w:before="100" w:beforeAutospacing="1" w:after="100" w:afterAutospacing="1"/>
    </w:pPr>
  </w:style>
  <w:style w:type="paragraph" w:customStyle="1" w:styleId="public-ul">
    <w:name w:val="public-ul"/>
    <w:basedOn w:val="a"/>
    <w:pPr>
      <w:spacing w:before="100" w:beforeAutospacing="1" w:after="120"/>
    </w:pPr>
  </w:style>
  <w:style w:type="paragraph" w:customStyle="1" w:styleId="scen">
    <w:name w:val="scen"/>
    <w:basedOn w:val="a"/>
    <w:pPr>
      <w:shd w:val="clear" w:color="auto" w:fill="F1F1F1"/>
      <w:spacing w:before="100" w:beforeAutospacing="1" w:after="100" w:afterAutospacing="1"/>
    </w:pPr>
  </w:style>
  <w:style w:type="paragraph" w:customStyle="1" w:styleId="scen-box">
    <w:name w:val="scen-box"/>
    <w:basedOn w:val="a"/>
    <w:pPr>
      <w:spacing w:before="1200"/>
      <w:ind w:left="6600"/>
    </w:pPr>
  </w:style>
  <w:style w:type="paragraph" w:customStyle="1" w:styleId="scen-logs">
    <w:name w:val="scen-logs"/>
    <w:basedOn w:val="a"/>
    <w:pPr>
      <w:shd w:val="clear" w:color="auto" w:fill="999999"/>
      <w:spacing w:before="100" w:beforeAutospacing="1" w:after="100" w:afterAutospacing="1"/>
    </w:pPr>
    <w:rPr>
      <w:vanish/>
    </w:rPr>
  </w:style>
  <w:style w:type="paragraph" w:customStyle="1" w:styleId="scen-back">
    <w:name w:val="scen-back"/>
    <w:basedOn w:val="a"/>
    <w:pPr>
      <w:shd w:val="clear" w:color="auto" w:fill="23A1EB"/>
      <w:spacing w:before="100" w:beforeAutospacing="1" w:after="100" w:afterAutospacing="1" w:line="360" w:lineRule="atLeast"/>
      <w:jc w:val="center"/>
    </w:pPr>
    <w:rPr>
      <w:color w:val="FFFFFF"/>
      <w:sz w:val="14"/>
      <w:szCs w:val="14"/>
    </w:rPr>
  </w:style>
  <w:style w:type="paragraph" w:customStyle="1" w:styleId="scrollbegin">
    <w:name w:val="scroll_begin"/>
    <w:basedOn w:val="a"/>
    <w:pPr>
      <w:spacing w:before="100" w:beforeAutospacing="1" w:after="100" w:afterAutospacing="1"/>
    </w:pPr>
  </w:style>
  <w:style w:type="paragraph" w:customStyle="1" w:styleId="scrolldiv">
    <w:name w:val="scroll_div"/>
    <w:basedOn w:val="a"/>
    <w:pPr>
      <w:spacing w:before="100" w:beforeAutospacing="1" w:after="100" w:afterAutospacing="1"/>
    </w:pPr>
  </w:style>
  <w:style w:type="paragraph" w:customStyle="1" w:styleId="wzbg">
    <w:name w:val="wzbg"/>
    <w:basedOn w:val="a"/>
    <w:pPr>
      <w:spacing w:before="100" w:beforeAutospacing="1" w:after="100" w:afterAutospacing="1"/>
    </w:pPr>
  </w:style>
  <w:style w:type="paragraph" w:customStyle="1" w:styleId="inv-video-box">
    <w:name w:val="inv-video-box"/>
    <w:basedOn w:val="a"/>
    <w:pPr>
      <w:shd w:val="clear" w:color="auto" w:fill="000000"/>
      <w:spacing w:before="100" w:beforeAutospacing="1" w:after="240"/>
      <w:jc w:val="center"/>
    </w:pPr>
  </w:style>
  <w:style w:type="paragraph" w:customStyle="1" w:styleId="result-h1">
    <w:name w:val="result-h1"/>
    <w:basedOn w:val="a"/>
    <w:pPr>
      <w:spacing w:before="100" w:beforeAutospacing="1" w:after="100" w:afterAutospacing="1"/>
      <w:ind w:left="180"/>
    </w:pPr>
    <w:rPr>
      <w:color w:val="666666"/>
    </w:rPr>
  </w:style>
  <w:style w:type="paragraph" w:customStyle="1" w:styleId="tugif">
    <w:name w:val="tu_gif"/>
    <w:basedOn w:val="a"/>
    <w:pPr>
      <w:spacing w:before="100" w:beforeAutospacing="1" w:after="100" w:afterAutospacing="1"/>
    </w:pPr>
  </w:style>
  <w:style w:type="paragraph" w:customStyle="1" w:styleId="tslide">
    <w:name w:val="tslide"/>
    <w:basedOn w:val="a"/>
    <w:pPr>
      <w:spacing w:before="100" w:beforeAutospacing="1" w:after="100" w:afterAutospacing="1"/>
      <w:ind w:left="48"/>
    </w:pPr>
  </w:style>
  <w:style w:type="paragraph" w:customStyle="1" w:styleId="tubf">
    <w:name w:val="tu_bf"/>
    <w:basedOn w:val="a"/>
    <w:pPr>
      <w:spacing w:before="100" w:beforeAutospacing="1" w:after="100" w:afterAutospacing="1"/>
    </w:pPr>
  </w:style>
  <w:style w:type="paragraph" w:customStyle="1" w:styleId="jq-boxtb">
    <w:name w:val="jq-box_tb"/>
    <w:basedOn w:val="a"/>
    <w:pPr>
      <w:spacing w:before="100" w:beforeAutospacing="1" w:after="100" w:afterAutospacing="1"/>
    </w:pPr>
    <w:rPr>
      <w:b/>
      <w:bCs/>
    </w:rPr>
  </w:style>
  <w:style w:type="paragraph" w:customStyle="1" w:styleId="cp-tips">
    <w:name w:val="cp-tips"/>
    <w:basedOn w:val="a"/>
    <w:pPr>
      <w:shd w:val="clear" w:color="auto" w:fill="FFEFC6"/>
      <w:spacing w:before="100" w:beforeAutospacing="1" w:after="100" w:afterAutospacing="1" w:line="480" w:lineRule="atLeast"/>
      <w:jc w:val="center"/>
    </w:pPr>
    <w:rPr>
      <w:color w:val="996600"/>
    </w:rPr>
  </w:style>
  <w:style w:type="paragraph" w:customStyle="1" w:styleId="cp-tips-close">
    <w:name w:val="cp-tips-close"/>
    <w:basedOn w:val="a"/>
    <w:pPr>
      <w:spacing w:before="108" w:after="108"/>
      <w:ind w:left="108" w:right="108"/>
    </w:pPr>
  </w:style>
  <w:style w:type="paragraph" w:customStyle="1" w:styleId="msgs">
    <w:name w:val="msgs"/>
    <w:basedOn w:val="a"/>
    <w:pPr>
      <w:pBdr>
        <w:top w:val="single" w:sz="4" w:space="0" w:color="0697DA"/>
        <w:left w:val="single" w:sz="4" w:space="0" w:color="0697DA"/>
        <w:bottom w:val="single" w:sz="4" w:space="0" w:color="0697DA"/>
        <w:right w:val="single" w:sz="4" w:space="0" w:color="0697DA"/>
      </w:pBdr>
      <w:shd w:val="clear" w:color="auto" w:fill="0697DA"/>
      <w:spacing w:before="100" w:beforeAutospacing="1" w:after="100" w:afterAutospacing="1" w:line="360" w:lineRule="atLeast"/>
      <w:jc w:val="center"/>
    </w:pPr>
    <w:rPr>
      <w:color w:val="FFFFFF"/>
      <w:sz w:val="14"/>
      <w:szCs w:val="14"/>
    </w:rPr>
  </w:style>
  <w:style w:type="paragraph" w:customStyle="1" w:styleId="msgs1">
    <w:name w:val="msgs1"/>
    <w:basedOn w:val="a"/>
    <w:pPr>
      <w:pBdr>
        <w:top w:val="single" w:sz="4" w:space="0" w:color="CCCCCC"/>
        <w:left w:val="single" w:sz="4" w:space="0" w:color="CCCCCC"/>
        <w:bottom w:val="single" w:sz="4" w:space="0" w:color="CCCCCC"/>
        <w:right w:val="single" w:sz="4" w:space="0" w:color="CCCCCC"/>
      </w:pBdr>
      <w:shd w:val="clear" w:color="auto" w:fill="E6E6E6"/>
      <w:spacing w:before="100" w:beforeAutospacing="1" w:after="100" w:afterAutospacing="1"/>
    </w:pPr>
    <w:rPr>
      <w:color w:val="818080"/>
    </w:rPr>
  </w:style>
  <w:style w:type="paragraph" w:customStyle="1" w:styleId="barrier-free">
    <w:name w:val="barrier-free"/>
    <w:basedOn w:val="a"/>
    <w:pPr>
      <w:spacing w:before="72" w:after="100" w:afterAutospacing="1"/>
      <w:jc w:val="center"/>
    </w:pPr>
    <w:rPr>
      <w:color w:val="0168B7"/>
      <w:sz w:val="14"/>
      <w:szCs w:val="14"/>
    </w:rPr>
  </w:style>
  <w:style w:type="paragraph" w:customStyle="1" w:styleId="quick-nav-panel">
    <w:name w:val="quick-nav-panel"/>
    <w:basedOn w:val="a"/>
    <w:pPr>
      <w:shd w:val="clear" w:color="auto" w:fill="FFFFFF"/>
      <w:spacing w:before="100" w:beforeAutospacing="1" w:after="100" w:afterAutospacing="1"/>
      <w:ind w:left="-4944"/>
    </w:pPr>
    <w:rPr>
      <w:vanish/>
    </w:rPr>
  </w:style>
  <w:style w:type="paragraph" w:customStyle="1" w:styleId="shade-bg">
    <w:name w:val="shade-bg"/>
    <w:basedOn w:val="a"/>
    <w:pPr>
      <w:spacing w:before="100" w:beforeAutospacing="1" w:after="100" w:afterAutospacing="1"/>
    </w:pPr>
    <w:rPr>
      <w:vanish/>
    </w:rPr>
  </w:style>
  <w:style w:type="paragraph" w:customStyle="1" w:styleId="icon-box">
    <w:name w:val="icon-box"/>
    <w:basedOn w:val="a"/>
    <w:pPr>
      <w:spacing w:before="100" w:beforeAutospacing="1" w:after="100" w:afterAutospacing="1"/>
      <w:jc w:val="center"/>
    </w:pPr>
  </w:style>
  <w:style w:type="paragraph" w:customStyle="1" w:styleId="search-hot">
    <w:name w:val="search-hot"/>
    <w:basedOn w:val="a"/>
    <w:pPr>
      <w:spacing w:before="100" w:beforeAutospacing="1" w:after="100" w:afterAutospacing="1"/>
    </w:pPr>
    <w:rPr>
      <w:rFonts w:ascii="微软雅黑" w:eastAsia="微软雅黑" w:hAnsi="微软雅黑"/>
      <w:color w:val="535454"/>
      <w:sz w:val="14"/>
      <w:szCs w:val="14"/>
    </w:rPr>
  </w:style>
  <w:style w:type="paragraph" w:customStyle="1" w:styleId="j-list-box">
    <w:name w:val="j-list-box"/>
    <w:basedOn w:val="a"/>
    <w:pPr>
      <w:spacing w:before="100" w:beforeAutospacing="1" w:after="100" w:afterAutospacing="1"/>
    </w:pPr>
  </w:style>
  <w:style w:type="paragraph" w:customStyle="1" w:styleId="secondary-menuul">
    <w:name w:val="secondary-menu&gt;ul"/>
    <w:basedOn w:val="a"/>
    <w:pPr>
      <w:pBdr>
        <w:top w:val="single" w:sz="2" w:space="0" w:color="DCEAF5"/>
        <w:left w:val="single" w:sz="4" w:space="0" w:color="DCEAF5"/>
        <w:bottom w:val="single" w:sz="4" w:space="0" w:color="DCEAF5"/>
        <w:right w:val="single" w:sz="4" w:space="0" w:color="DCEAF5"/>
      </w:pBdr>
      <w:spacing w:before="100" w:beforeAutospacing="1" w:after="100" w:afterAutospacing="1"/>
    </w:pPr>
  </w:style>
  <w:style w:type="paragraph" w:customStyle="1" w:styleId="secondary-menuulli">
    <w:name w:val="secondary-menu&gt;ul&gt;li"/>
    <w:basedOn w:val="a"/>
    <w:pPr>
      <w:spacing w:before="100" w:beforeAutospacing="1" w:after="100" w:afterAutospacing="1" w:line="576" w:lineRule="atLeast"/>
    </w:pPr>
  </w:style>
  <w:style w:type="paragraph" w:customStyle="1" w:styleId="secondary-menuullip">
    <w:name w:val="secondary-menu&gt;ul&gt;li&gt;p"/>
    <w:basedOn w:val="a"/>
    <w:pPr>
      <w:spacing w:before="100" w:beforeAutospacing="1" w:after="100" w:afterAutospacing="1"/>
    </w:pPr>
    <w:rPr>
      <w:color w:val="333333"/>
      <w:sz w:val="22"/>
      <w:szCs w:val="22"/>
    </w:rPr>
  </w:style>
  <w:style w:type="paragraph" w:customStyle="1" w:styleId="secondary-menuullia">
    <w:name w:val="secondary-menu&gt;ul&gt;li&gt;a"/>
    <w:basedOn w:val="a"/>
    <w:pPr>
      <w:spacing w:before="100" w:beforeAutospacing="1" w:after="100" w:afterAutospacing="1"/>
    </w:pPr>
    <w:rPr>
      <w:color w:val="333333"/>
      <w:sz w:val="22"/>
      <w:szCs w:val="22"/>
    </w:rPr>
  </w:style>
  <w:style w:type="paragraph" w:customStyle="1" w:styleId="act">
    <w:name w:val="act"/>
    <w:basedOn w:val="a"/>
    <w:pPr>
      <w:spacing w:before="100" w:beforeAutospacing="1" w:after="100" w:afterAutospacing="1"/>
    </w:pPr>
    <w:rPr>
      <w:b/>
      <w:bCs/>
      <w:color w:val="0168B7"/>
    </w:rPr>
  </w:style>
  <w:style w:type="paragraph" w:customStyle="1" w:styleId="big-menu-icon1">
    <w:name w:val="big-menu-icon1"/>
    <w:basedOn w:val="a"/>
    <w:pPr>
      <w:spacing w:before="100" w:beforeAutospacing="1" w:after="100" w:afterAutospacing="1"/>
    </w:pPr>
  </w:style>
  <w:style w:type="paragraph" w:customStyle="1" w:styleId="big-menu-icon2">
    <w:name w:val="big-menu-icon2"/>
    <w:basedOn w:val="a"/>
    <w:pPr>
      <w:spacing w:before="100" w:beforeAutospacing="1" w:after="100" w:afterAutospacing="1"/>
    </w:pPr>
  </w:style>
  <w:style w:type="paragraph" w:customStyle="1" w:styleId="big-menu-icon3">
    <w:name w:val="big-menu-icon3"/>
    <w:basedOn w:val="a"/>
    <w:pPr>
      <w:spacing w:before="100" w:beforeAutospacing="1" w:after="100" w:afterAutospacing="1"/>
    </w:pPr>
  </w:style>
  <w:style w:type="paragraph" w:customStyle="1" w:styleId="big-menu-icon4">
    <w:name w:val="big-menu-icon4"/>
    <w:basedOn w:val="a"/>
    <w:pPr>
      <w:spacing w:before="100" w:beforeAutospacing="1" w:after="100" w:afterAutospacing="1"/>
    </w:pPr>
  </w:style>
  <w:style w:type="paragraph" w:customStyle="1" w:styleId="big-menu-icon5">
    <w:name w:val="big-menu-icon5"/>
    <w:basedOn w:val="a"/>
    <w:pPr>
      <w:spacing w:before="100" w:beforeAutospacing="1" w:after="100" w:afterAutospacing="1"/>
    </w:pPr>
  </w:style>
  <w:style w:type="paragraph" w:customStyle="1" w:styleId="share-box">
    <w:name w:val="share-box"/>
    <w:basedOn w:val="a"/>
    <w:pPr>
      <w:shd w:val="clear" w:color="auto" w:fill="FFFFFF"/>
      <w:spacing w:before="100" w:beforeAutospacing="1" w:after="100" w:afterAutospacing="1"/>
    </w:pPr>
  </w:style>
  <w:style w:type="paragraph" w:customStyle="1" w:styleId="list-banner">
    <w:name w:val="list-banner"/>
    <w:basedOn w:val="a"/>
    <w:pPr>
      <w:shd w:val="clear" w:color="auto" w:fill="FFFFFF"/>
      <w:spacing w:before="100" w:beforeAutospacing="1" w:after="100" w:afterAutospacing="1"/>
    </w:pPr>
  </w:style>
  <w:style w:type="paragraph" w:customStyle="1" w:styleId="slides">
    <w:name w:val="slides"/>
    <w:basedOn w:val="a"/>
  </w:style>
  <w:style w:type="paragraph" w:customStyle="1" w:styleId="flex-control-nav">
    <w:name w:val="flex-control-nav"/>
    <w:basedOn w:val="a"/>
    <w:pPr>
      <w:ind w:left="6660"/>
      <w:jc w:val="center"/>
    </w:pPr>
  </w:style>
  <w:style w:type="paragraph" w:customStyle="1" w:styleId="flex-direction-nav">
    <w:name w:val="flex-direction-nav"/>
    <w:basedOn w:val="a"/>
    <w:rPr>
      <w:vanish/>
    </w:rPr>
  </w:style>
  <w:style w:type="paragraph" w:customStyle="1" w:styleId="flexslider">
    <w:name w:val="flexslider"/>
    <w:basedOn w:val="a"/>
  </w:style>
  <w:style w:type="paragraph" w:customStyle="1" w:styleId="flex-control-thumbs">
    <w:name w:val="flex-control-thumbs"/>
    <w:basedOn w:val="a"/>
    <w:pPr>
      <w:spacing w:before="60"/>
    </w:pPr>
  </w:style>
  <w:style w:type="paragraph" w:customStyle="1" w:styleId="next">
    <w:name w:val="next"/>
    <w:basedOn w:val="a"/>
    <w:pPr>
      <w:spacing w:before="100" w:beforeAutospacing="1" w:after="100" w:afterAutospacing="1"/>
    </w:pPr>
  </w:style>
  <w:style w:type="paragraph" w:customStyle="1" w:styleId="prev">
    <w:name w:val="prev"/>
    <w:basedOn w:val="a"/>
    <w:pPr>
      <w:spacing w:before="100" w:beforeAutospacing="1" w:after="100" w:afterAutospacing="1"/>
    </w:pPr>
  </w:style>
  <w:style w:type="paragraph" w:customStyle="1" w:styleId="xzys-p">
    <w:name w:val="xzys-p"/>
    <w:basedOn w:val="a"/>
    <w:pPr>
      <w:spacing w:before="100" w:beforeAutospacing="1" w:after="100" w:afterAutospacing="1"/>
    </w:pPr>
  </w:style>
  <w:style w:type="paragraph" w:customStyle="1" w:styleId="gd">
    <w:name w:val="gd"/>
    <w:basedOn w:val="a"/>
    <w:pPr>
      <w:spacing w:before="100" w:beforeAutospacing="1" w:after="100" w:afterAutospacing="1"/>
    </w:pPr>
  </w:style>
  <w:style w:type="paragraph" w:customStyle="1" w:styleId="login-center2-a1">
    <w:name w:val="login-center2-a1"/>
    <w:basedOn w:val="a"/>
    <w:pPr>
      <w:spacing w:before="100" w:beforeAutospacing="1" w:after="100" w:afterAutospacing="1"/>
    </w:pPr>
  </w:style>
  <w:style w:type="paragraph" w:customStyle="1" w:styleId="login-center2-a2">
    <w:name w:val="login-center2-a2"/>
    <w:basedOn w:val="a"/>
    <w:pPr>
      <w:spacing w:before="100" w:beforeAutospacing="1" w:after="100" w:afterAutospacing="1"/>
    </w:pPr>
  </w:style>
  <w:style w:type="paragraph" w:customStyle="1" w:styleId="write-main1-h1">
    <w:name w:val="write-main1-h1"/>
    <w:basedOn w:val="a"/>
    <w:pPr>
      <w:spacing w:before="100" w:beforeAutospacing="1" w:after="100" w:afterAutospacing="1"/>
    </w:pPr>
  </w:style>
  <w:style w:type="paragraph" w:customStyle="1" w:styleId="btn-mail">
    <w:name w:val="btn-mail"/>
    <w:basedOn w:val="a"/>
    <w:pPr>
      <w:spacing w:before="100" w:beforeAutospacing="1" w:after="100" w:afterAutospacing="1"/>
    </w:pPr>
  </w:style>
  <w:style w:type="paragraph" w:customStyle="1" w:styleId="title">
    <w:name w:val="title"/>
    <w:basedOn w:val="a"/>
    <w:pPr>
      <w:spacing w:before="100" w:beforeAutospacing="1" w:after="100" w:afterAutospacing="1"/>
    </w:pPr>
  </w:style>
  <w:style w:type="paragraph" w:customStyle="1" w:styleId="close-btn">
    <w:name w:val="close-btn"/>
    <w:basedOn w:val="a"/>
    <w:pPr>
      <w:spacing w:before="100" w:beforeAutospacing="1" w:after="100" w:afterAutospacing="1"/>
    </w:pPr>
  </w:style>
  <w:style w:type="paragraph" w:customStyle="1" w:styleId="quick-nav-box">
    <w:name w:val="quick-nav-box"/>
    <w:basedOn w:val="a"/>
    <w:pPr>
      <w:spacing w:before="100" w:beforeAutospacing="1" w:after="100" w:afterAutospacing="1"/>
    </w:pPr>
  </w:style>
  <w:style w:type="paragraph" w:customStyle="1" w:styleId="column-title">
    <w:name w:val="column-title"/>
    <w:basedOn w:val="a"/>
    <w:pPr>
      <w:spacing w:before="100" w:beforeAutospacing="1" w:after="100" w:afterAutospacing="1"/>
    </w:pPr>
  </w:style>
  <w:style w:type="paragraph" w:customStyle="1" w:styleId="column-main">
    <w:name w:val="column-main"/>
    <w:basedOn w:val="a"/>
    <w:pPr>
      <w:spacing w:before="100" w:beforeAutospacing="1" w:after="100" w:afterAutospacing="1"/>
    </w:pPr>
  </w:style>
  <w:style w:type="paragraph" w:customStyle="1" w:styleId="active-main">
    <w:name w:val="active-main"/>
    <w:basedOn w:val="a"/>
    <w:pPr>
      <w:spacing w:before="100" w:beforeAutospacing="1" w:after="100" w:afterAutospacing="1"/>
    </w:pPr>
  </w:style>
  <w:style w:type="paragraph" w:customStyle="1" w:styleId="active-title">
    <w:name w:val="active-title"/>
    <w:basedOn w:val="a"/>
    <w:pPr>
      <w:spacing w:before="100" w:beforeAutospacing="1" w:after="100" w:afterAutospacing="1"/>
    </w:pPr>
  </w:style>
  <w:style w:type="paragraph" w:customStyle="1" w:styleId="icon-border">
    <w:name w:val="icon-border"/>
    <w:basedOn w:val="a"/>
    <w:pPr>
      <w:spacing w:before="100" w:beforeAutospacing="1" w:after="100" w:afterAutospacing="1"/>
    </w:pPr>
  </w:style>
  <w:style w:type="paragraph" w:customStyle="1" w:styleId="barrier-free2">
    <w:name w:val="barrier-free2"/>
    <w:basedOn w:val="a"/>
    <w:pPr>
      <w:spacing w:before="100" w:beforeAutospacing="1" w:after="100" w:afterAutospacing="1"/>
    </w:pPr>
  </w:style>
  <w:style w:type="paragraph" w:customStyle="1" w:styleId="first-hot">
    <w:name w:val="first-hot"/>
    <w:basedOn w:val="a"/>
    <w:pPr>
      <w:spacing w:before="100" w:beforeAutospacing="1" w:after="100" w:afterAutospacing="1"/>
    </w:pPr>
  </w:style>
  <w:style w:type="paragraph" w:customStyle="1" w:styleId="left-menu">
    <w:name w:val="left-menu"/>
    <w:basedOn w:val="a"/>
    <w:pPr>
      <w:spacing w:before="100" w:beforeAutospacing="1" w:after="100" w:afterAutospacing="1"/>
    </w:pPr>
  </w:style>
  <w:style w:type="paragraph" w:customStyle="1" w:styleId="secondary-list">
    <w:name w:val="secondary-list"/>
    <w:basedOn w:val="a"/>
    <w:pPr>
      <w:spacing w:before="100" w:beforeAutospacing="1" w:after="100" w:afterAutospacing="1"/>
    </w:pPr>
  </w:style>
  <w:style w:type="paragraph" w:customStyle="1" w:styleId="big-menu">
    <w:name w:val="big-menu"/>
    <w:basedOn w:val="a"/>
    <w:pPr>
      <w:spacing w:before="100" w:beforeAutospacing="1" w:after="100" w:afterAutospacing="1"/>
    </w:pPr>
  </w:style>
  <w:style w:type="paragraph" w:customStyle="1" w:styleId="right-main">
    <w:name w:val="right-main"/>
    <w:basedOn w:val="a"/>
    <w:pPr>
      <w:spacing w:before="100" w:beforeAutospacing="1" w:after="100" w:afterAutospacing="1"/>
    </w:pPr>
  </w:style>
  <w:style w:type="paragraph" w:customStyle="1" w:styleId="page-box">
    <w:name w:val="page-box"/>
    <w:basedOn w:val="a"/>
    <w:pPr>
      <w:spacing w:before="100" w:beforeAutospacing="1" w:after="100" w:afterAutospacing="1"/>
    </w:pPr>
  </w:style>
  <w:style w:type="paragraph" w:customStyle="1" w:styleId="right-article">
    <w:name w:val="right-article"/>
    <w:basedOn w:val="a"/>
    <w:pPr>
      <w:spacing w:before="100" w:beforeAutospacing="1" w:after="100" w:afterAutospacing="1"/>
    </w:pPr>
  </w:style>
  <w:style w:type="paragraph" w:customStyle="1" w:styleId="site-box">
    <w:name w:val="site-box"/>
    <w:basedOn w:val="a"/>
    <w:pPr>
      <w:spacing w:before="100" w:beforeAutospacing="1" w:after="100" w:afterAutospacing="1"/>
    </w:pPr>
  </w:style>
  <w:style w:type="paragraph" w:customStyle="1" w:styleId="img-box">
    <w:name w:val="img-box"/>
    <w:basedOn w:val="a"/>
    <w:pPr>
      <w:spacing w:before="100" w:beforeAutospacing="1" w:after="100" w:afterAutospacing="1"/>
    </w:pPr>
  </w:style>
  <w:style w:type="paragraph" w:customStyle="1" w:styleId="flex-next">
    <w:name w:val="flex-next"/>
    <w:basedOn w:val="a"/>
    <w:pPr>
      <w:spacing w:before="100" w:beforeAutospacing="1" w:after="100" w:afterAutospacing="1"/>
    </w:pPr>
  </w:style>
  <w:style w:type="paragraph" w:customStyle="1" w:styleId="quick-switch">
    <w:name w:val="quick-switch"/>
    <w:basedOn w:val="a"/>
    <w:pPr>
      <w:spacing w:before="100" w:beforeAutospacing="1" w:after="100" w:afterAutospacing="1"/>
    </w:pPr>
  </w:style>
  <w:style w:type="paragraph" w:customStyle="1" w:styleId="right-text">
    <w:name w:val="right-text"/>
    <w:basedOn w:val="a"/>
    <w:pPr>
      <w:spacing w:before="100" w:beforeAutospacing="1" w:after="100" w:afterAutospacing="1"/>
    </w:pPr>
  </w:style>
  <w:style w:type="paragraph" w:customStyle="1" w:styleId="site-title">
    <w:name w:val="site-title"/>
    <w:basedOn w:val="a"/>
    <w:pPr>
      <w:spacing w:before="100" w:beforeAutospacing="1" w:after="100" w:afterAutospacing="1"/>
    </w:pPr>
  </w:style>
  <w:style w:type="paragraph" w:customStyle="1" w:styleId="lisa">
    <w:name w:val="lisa"/>
    <w:basedOn w:val="a"/>
    <w:pPr>
      <w:spacing w:before="100" w:beforeAutospacing="1" w:after="100" w:afterAutospacing="1"/>
    </w:pPr>
  </w:style>
  <w:style w:type="paragraph" w:customStyle="1" w:styleId="flex-prev">
    <w:name w:val="flex-prev"/>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jq-content-box">
    <w:name w:val="jq-content-box"/>
    <w:basedOn w:val="a"/>
    <w:pPr>
      <w:spacing w:before="100" w:beforeAutospacing="1" w:after="100" w:afterAutospacing="1"/>
    </w:pPr>
  </w:style>
  <w:style w:type="character" w:customStyle="1" w:styleId="cits31">
    <w:name w:val="cits31"/>
    <w:basedOn w:val="a0"/>
    <w:rPr>
      <w:color w:val="000000"/>
      <w:sz w:val="19"/>
      <w:szCs w:val="19"/>
    </w:rPr>
  </w:style>
  <w:style w:type="character" w:customStyle="1" w:styleId="bis41">
    <w:name w:val="bis41"/>
    <w:basedOn w:val="a0"/>
    <w:rPr>
      <w:color w:val="000000"/>
      <w:sz w:val="19"/>
      <w:szCs w:val="19"/>
    </w:rPr>
  </w:style>
  <w:style w:type="paragraph" w:customStyle="1" w:styleId="p11">
    <w:name w:val="p11"/>
    <w:basedOn w:val="a"/>
    <w:pPr>
      <w:spacing w:before="100" w:beforeAutospacing="1" w:after="100" w:afterAutospacing="1" w:line="540" w:lineRule="atLeast"/>
      <w:ind w:right="420"/>
    </w:pPr>
  </w:style>
  <w:style w:type="paragraph" w:customStyle="1" w:styleId="next1">
    <w:name w:val="next1"/>
    <w:basedOn w:val="a"/>
    <w:pPr>
      <w:spacing w:before="100" w:beforeAutospacing="1" w:after="100" w:afterAutospacing="1"/>
    </w:pPr>
    <w:rPr>
      <w:vanish/>
    </w:rPr>
  </w:style>
  <w:style w:type="paragraph" w:customStyle="1" w:styleId="prev1">
    <w:name w:val="prev1"/>
    <w:basedOn w:val="a"/>
    <w:pPr>
      <w:spacing w:before="100" w:beforeAutospacing="1" w:after="100" w:afterAutospacing="1"/>
    </w:pPr>
    <w:rPr>
      <w:vanish/>
    </w:rPr>
  </w:style>
  <w:style w:type="paragraph" w:customStyle="1" w:styleId="xzys-p1">
    <w:name w:val="xzys-p1"/>
    <w:basedOn w:val="a"/>
    <w:pPr>
      <w:spacing w:after="100" w:afterAutospacing="1" w:line="288" w:lineRule="atLeast"/>
      <w:ind w:firstLine="480"/>
    </w:pPr>
    <w:rPr>
      <w:color w:val="666666"/>
      <w:sz w:val="17"/>
      <w:szCs w:val="17"/>
    </w:rPr>
  </w:style>
  <w:style w:type="paragraph" w:customStyle="1" w:styleId="flex-control-nav1">
    <w:name w:val="flex-control-nav1"/>
    <w:basedOn w:val="a"/>
    <w:pPr>
      <w:jc w:val="center"/>
    </w:pPr>
  </w:style>
  <w:style w:type="paragraph" w:customStyle="1" w:styleId="into-left-list1">
    <w:name w:val="into-left-list1"/>
    <w:basedOn w:val="a"/>
    <w:pPr>
      <w:shd w:val="clear" w:color="auto" w:fill="83C56A"/>
      <w:spacing w:before="100" w:beforeAutospacing="1" w:after="100" w:afterAutospacing="1"/>
    </w:pPr>
    <w:rPr>
      <w:vanish/>
    </w:rPr>
  </w:style>
  <w:style w:type="paragraph" w:customStyle="1" w:styleId="into-left-list3">
    <w:name w:val="into-left-list3"/>
    <w:basedOn w:val="a"/>
    <w:pPr>
      <w:shd w:val="clear" w:color="auto" w:fill="DC6984"/>
      <w:spacing w:before="100" w:beforeAutospacing="1" w:after="100" w:afterAutospacing="1"/>
    </w:pPr>
    <w:rPr>
      <w:vanish/>
    </w:rPr>
  </w:style>
  <w:style w:type="paragraph" w:customStyle="1" w:styleId="message-main1-left1-h11">
    <w:name w:val="message-main1-left1-h11"/>
    <w:basedOn w:val="a"/>
    <w:pPr>
      <w:spacing w:before="100" w:beforeAutospacing="1" w:after="100" w:afterAutospacing="1" w:line="600" w:lineRule="atLeast"/>
    </w:pPr>
    <w:rPr>
      <w:b/>
      <w:bCs/>
      <w:color w:val="FFFFFF"/>
    </w:rPr>
  </w:style>
  <w:style w:type="paragraph" w:customStyle="1" w:styleId="message-main1-left1-h12">
    <w:name w:val="message-main1-left1-h12"/>
    <w:basedOn w:val="a"/>
    <w:pPr>
      <w:spacing w:before="100" w:beforeAutospacing="1" w:after="100" w:afterAutospacing="1" w:line="600" w:lineRule="atLeast"/>
    </w:pPr>
    <w:rPr>
      <w:b/>
      <w:bCs/>
      <w:color w:val="FFFFFF"/>
    </w:rPr>
  </w:style>
  <w:style w:type="paragraph" w:customStyle="1" w:styleId="lisa1">
    <w:name w:val="lisa1"/>
    <w:basedOn w:val="a"/>
    <w:pPr>
      <w:shd w:val="clear" w:color="auto" w:fill="4CA7EC"/>
      <w:spacing w:before="100" w:beforeAutospacing="1" w:after="100" w:afterAutospacing="1"/>
    </w:pPr>
    <w:rPr>
      <w:color w:val="FFFFFF"/>
    </w:rPr>
  </w:style>
  <w:style w:type="paragraph" w:customStyle="1" w:styleId="gd1">
    <w:name w:val="gd1"/>
    <w:basedOn w:val="a"/>
    <w:pPr>
      <w:spacing w:before="100" w:beforeAutospacing="1" w:after="100" w:afterAutospacing="1" w:line="600" w:lineRule="atLeast"/>
      <w:ind w:right="120"/>
    </w:pPr>
    <w:rPr>
      <w:color w:val="666666"/>
      <w:sz w:val="17"/>
      <w:szCs w:val="17"/>
    </w:rPr>
  </w:style>
  <w:style w:type="paragraph" w:customStyle="1" w:styleId="login-center2-a11">
    <w:name w:val="login-center2-a11"/>
    <w:basedOn w:val="a"/>
    <w:pPr>
      <w:spacing w:before="100" w:beforeAutospacing="1" w:after="100" w:afterAutospacing="1"/>
      <w:ind w:right="204"/>
      <w:jc w:val="center"/>
    </w:pPr>
    <w:rPr>
      <w:color w:val="FFFFFF"/>
      <w:sz w:val="17"/>
      <w:szCs w:val="17"/>
    </w:rPr>
  </w:style>
  <w:style w:type="paragraph" w:customStyle="1" w:styleId="login-center2-a12">
    <w:name w:val="login-center2-a12"/>
    <w:basedOn w:val="a"/>
    <w:pPr>
      <w:spacing w:before="100" w:beforeAutospacing="1" w:after="100" w:afterAutospacing="1"/>
      <w:ind w:right="204"/>
      <w:jc w:val="center"/>
    </w:pPr>
    <w:rPr>
      <w:color w:val="FFFFFF"/>
      <w:sz w:val="17"/>
      <w:szCs w:val="17"/>
    </w:rPr>
  </w:style>
  <w:style w:type="paragraph" w:customStyle="1" w:styleId="login-center2-a21">
    <w:name w:val="login-center2-a21"/>
    <w:basedOn w:val="a"/>
    <w:pPr>
      <w:spacing w:before="100" w:beforeAutospacing="1" w:after="100" w:afterAutospacing="1" w:line="396" w:lineRule="atLeast"/>
      <w:ind w:right="204"/>
      <w:jc w:val="center"/>
    </w:pPr>
    <w:rPr>
      <w:color w:val="FFFFFF"/>
      <w:sz w:val="17"/>
      <w:szCs w:val="17"/>
    </w:rPr>
  </w:style>
  <w:style w:type="paragraph" w:customStyle="1" w:styleId="login-center2-a22">
    <w:name w:val="login-center2-a22"/>
    <w:basedOn w:val="a"/>
    <w:pPr>
      <w:spacing w:before="100" w:beforeAutospacing="1" w:after="100" w:afterAutospacing="1" w:line="396" w:lineRule="atLeast"/>
      <w:ind w:right="204"/>
      <w:jc w:val="center"/>
    </w:pPr>
    <w:rPr>
      <w:color w:val="FFFFFF"/>
      <w:sz w:val="17"/>
      <w:szCs w:val="17"/>
    </w:rPr>
  </w:style>
  <w:style w:type="paragraph" w:customStyle="1" w:styleId="login-center2-a23">
    <w:name w:val="login-center2-a23"/>
    <w:basedOn w:val="a"/>
    <w:pPr>
      <w:spacing w:before="100" w:beforeAutospacing="1" w:after="100" w:afterAutospacing="1" w:line="396" w:lineRule="atLeast"/>
      <w:ind w:right="204"/>
      <w:jc w:val="center"/>
    </w:pPr>
    <w:rPr>
      <w:color w:val="FFFFFF"/>
      <w:sz w:val="17"/>
      <w:szCs w:val="17"/>
    </w:rPr>
  </w:style>
  <w:style w:type="character" w:customStyle="1" w:styleId="cits32">
    <w:name w:val="cits32"/>
    <w:basedOn w:val="a0"/>
    <w:rPr>
      <w:vanish w:val="0"/>
      <w:webHidden w:val="0"/>
      <w:color w:val="00A0E9"/>
      <w:sz w:val="17"/>
      <w:szCs w:val="17"/>
      <w:specVanish w:val="0"/>
    </w:rPr>
  </w:style>
  <w:style w:type="character" w:customStyle="1" w:styleId="bis42">
    <w:name w:val="bis42"/>
    <w:basedOn w:val="a0"/>
    <w:rPr>
      <w:vanish w:val="0"/>
      <w:webHidden w:val="0"/>
      <w:color w:val="00A0E9"/>
      <w:sz w:val="19"/>
      <w:szCs w:val="19"/>
      <w:specVanish w:val="0"/>
    </w:rPr>
  </w:style>
  <w:style w:type="paragraph" w:customStyle="1" w:styleId="write-main1-h11">
    <w:name w:val="write-main1-h11"/>
    <w:basedOn w:val="a"/>
    <w:pPr>
      <w:shd w:val="clear" w:color="auto" w:fill="83C56A"/>
      <w:spacing w:before="60" w:after="100" w:afterAutospacing="1" w:line="420" w:lineRule="atLeast"/>
    </w:pPr>
  </w:style>
  <w:style w:type="paragraph" w:customStyle="1" w:styleId="next2">
    <w:name w:val="next2"/>
    <w:basedOn w:val="a"/>
    <w:pPr>
      <w:spacing w:before="100" w:beforeAutospacing="1" w:after="100" w:afterAutospacing="1"/>
    </w:pPr>
    <w:rPr>
      <w:vanish/>
    </w:rPr>
  </w:style>
  <w:style w:type="paragraph" w:customStyle="1" w:styleId="prev2">
    <w:name w:val="prev2"/>
    <w:basedOn w:val="a"/>
    <w:pPr>
      <w:spacing w:before="100" w:beforeAutospacing="1" w:after="100" w:afterAutospacing="1"/>
    </w:pPr>
    <w:rPr>
      <w:vanish/>
    </w:rPr>
  </w:style>
  <w:style w:type="paragraph" w:customStyle="1" w:styleId="btn-mail1">
    <w:name w:val="btn-mail1"/>
    <w:basedOn w:val="a"/>
    <w:pPr>
      <w:spacing w:before="240" w:line="288" w:lineRule="atLeast"/>
    </w:pPr>
    <w:rPr>
      <w:color w:val="000000"/>
      <w:sz w:val="17"/>
      <w:szCs w:val="17"/>
    </w:rPr>
  </w:style>
  <w:style w:type="paragraph" w:customStyle="1" w:styleId="login-center2-a24">
    <w:name w:val="login-center2-a24"/>
    <w:basedOn w:val="a"/>
    <w:pPr>
      <w:spacing w:before="100" w:beforeAutospacing="1" w:after="100" w:afterAutospacing="1" w:line="420" w:lineRule="atLeast"/>
      <w:ind w:left="120" w:right="5100"/>
      <w:jc w:val="center"/>
    </w:pPr>
    <w:rPr>
      <w:color w:val="FFFFFF"/>
      <w:sz w:val="17"/>
      <w:szCs w:val="17"/>
    </w:rPr>
  </w:style>
  <w:style w:type="paragraph" w:customStyle="1" w:styleId="login-center2-a25">
    <w:name w:val="login-center2-a25"/>
    <w:basedOn w:val="a"/>
    <w:pPr>
      <w:spacing w:before="100" w:beforeAutospacing="1" w:after="100" w:afterAutospacing="1" w:line="420" w:lineRule="atLeast"/>
      <w:ind w:left="120" w:right="5100"/>
      <w:jc w:val="center"/>
    </w:pPr>
    <w:rPr>
      <w:color w:val="FFFFFF"/>
      <w:sz w:val="17"/>
      <w:szCs w:val="17"/>
    </w:rPr>
  </w:style>
  <w:style w:type="paragraph" w:customStyle="1" w:styleId="flex-direction-nav1">
    <w:name w:val="flex-direction-nav1"/>
    <w:basedOn w:val="a"/>
  </w:style>
  <w:style w:type="paragraph" w:customStyle="1" w:styleId="flex-prev1">
    <w:name w:val="flex-prev1"/>
    <w:basedOn w:val="a"/>
    <w:pPr>
      <w:spacing w:before="100" w:beforeAutospacing="1" w:after="100" w:afterAutospacing="1"/>
    </w:pPr>
  </w:style>
  <w:style w:type="paragraph" w:customStyle="1" w:styleId="flex-next1">
    <w:name w:val="flex-next1"/>
    <w:basedOn w:val="a"/>
    <w:pPr>
      <w:spacing w:before="100" w:beforeAutospacing="1" w:after="100" w:afterAutospacing="1"/>
      <w:jc w:val="right"/>
    </w:pPr>
  </w:style>
  <w:style w:type="paragraph" w:customStyle="1" w:styleId="jq-content-box1">
    <w:name w:val="jq-content-box1"/>
    <w:basedOn w:val="a"/>
    <w:pPr>
      <w:spacing w:before="100" w:beforeAutospacing="1" w:after="100" w:afterAutospacing="1"/>
    </w:pPr>
  </w:style>
  <w:style w:type="paragraph" w:customStyle="1" w:styleId="tugif1">
    <w:name w:val="tu_gif1"/>
    <w:basedOn w:val="a"/>
    <w:pPr>
      <w:spacing w:before="100" w:beforeAutospacing="1" w:after="100" w:afterAutospacing="1"/>
    </w:pPr>
  </w:style>
  <w:style w:type="paragraph" w:customStyle="1" w:styleId="title1">
    <w:name w:val="title1"/>
    <w:basedOn w:val="a"/>
    <w:pPr>
      <w:shd w:val="clear" w:color="auto" w:fill="0D5D9A"/>
      <w:spacing w:before="100" w:beforeAutospacing="1" w:after="100" w:afterAutospacing="1"/>
    </w:pPr>
  </w:style>
  <w:style w:type="paragraph" w:customStyle="1" w:styleId="close-btn1">
    <w:name w:val="close-btn1"/>
    <w:basedOn w:val="a"/>
    <w:pPr>
      <w:spacing w:before="100" w:beforeAutospacing="1" w:after="100" w:afterAutospacing="1"/>
    </w:pPr>
  </w:style>
  <w:style w:type="paragraph" w:customStyle="1" w:styleId="quick-nav-box1">
    <w:name w:val="quick-nav-box1"/>
    <w:basedOn w:val="a"/>
    <w:pPr>
      <w:spacing w:before="100" w:beforeAutospacing="1" w:after="100" w:afterAutospacing="1"/>
    </w:pPr>
  </w:style>
  <w:style w:type="paragraph" w:customStyle="1" w:styleId="column-title1">
    <w:name w:val="column-title1"/>
    <w:basedOn w:val="a"/>
    <w:pPr>
      <w:shd w:val="clear" w:color="auto" w:fill="4CA7EC"/>
      <w:spacing w:before="100" w:beforeAutospacing="1" w:after="96"/>
    </w:pPr>
  </w:style>
  <w:style w:type="paragraph" w:customStyle="1" w:styleId="quick-switch1">
    <w:name w:val="quick-switch1"/>
    <w:basedOn w:val="a"/>
    <w:pPr>
      <w:spacing w:before="100" w:beforeAutospacing="1" w:after="100" w:afterAutospacing="1" w:line="384" w:lineRule="atLeast"/>
    </w:pPr>
    <w:rPr>
      <w:color w:val="E4F669"/>
      <w:sz w:val="17"/>
      <w:szCs w:val="17"/>
    </w:rPr>
  </w:style>
  <w:style w:type="paragraph" w:customStyle="1" w:styleId="column-main1">
    <w:name w:val="column-main1"/>
    <w:basedOn w:val="a"/>
    <w:pPr>
      <w:spacing w:before="100" w:beforeAutospacing="1" w:after="100" w:afterAutospacing="1"/>
    </w:pPr>
    <w:rPr>
      <w:vanish/>
    </w:rPr>
  </w:style>
  <w:style w:type="paragraph" w:customStyle="1" w:styleId="active-main1">
    <w:name w:val="active-main1"/>
    <w:basedOn w:val="a"/>
    <w:pPr>
      <w:spacing w:before="100" w:beforeAutospacing="1" w:after="96"/>
    </w:pPr>
  </w:style>
  <w:style w:type="paragraph" w:customStyle="1" w:styleId="active-title1">
    <w:name w:val="active-title1"/>
    <w:basedOn w:val="a"/>
    <w:pPr>
      <w:spacing w:before="100" w:beforeAutospacing="1"/>
    </w:pPr>
  </w:style>
  <w:style w:type="paragraph" w:customStyle="1" w:styleId="icon-border1">
    <w:name w:val="icon-border1"/>
    <w:basedOn w:val="a"/>
    <w:pPr>
      <w:spacing w:before="100" w:beforeAutospacing="1" w:after="100" w:afterAutospacing="1"/>
    </w:pPr>
    <w:rPr>
      <w:color w:val="0168B7"/>
      <w:sz w:val="14"/>
      <w:szCs w:val="14"/>
    </w:rPr>
  </w:style>
  <w:style w:type="paragraph" w:customStyle="1" w:styleId="barrier-free21">
    <w:name w:val="barrier-free21"/>
    <w:basedOn w:val="a"/>
    <w:pPr>
      <w:spacing w:before="100" w:beforeAutospacing="1" w:after="100" w:afterAutospacing="1"/>
    </w:pPr>
  </w:style>
  <w:style w:type="paragraph" w:customStyle="1" w:styleId="first-hot1">
    <w:name w:val="first-hot1"/>
    <w:basedOn w:val="a"/>
    <w:pPr>
      <w:spacing w:before="100" w:beforeAutospacing="1" w:after="100" w:afterAutospacing="1"/>
    </w:pPr>
  </w:style>
  <w:style w:type="paragraph" w:customStyle="1" w:styleId="left-menu1">
    <w:name w:val="left-menu1"/>
    <w:basedOn w:val="a"/>
    <w:pPr>
      <w:spacing w:before="100" w:beforeAutospacing="1" w:after="100" w:afterAutospacing="1"/>
    </w:pPr>
  </w:style>
  <w:style w:type="paragraph" w:customStyle="1" w:styleId="title2">
    <w:name w:val="title2"/>
    <w:basedOn w:val="a"/>
    <w:pPr>
      <w:shd w:val="clear" w:color="auto" w:fill="83C56B"/>
      <w:spacing w:before="100" w:beforeAutospacing="1" w:after="100" w:afterAutospacing="1" w:line="840" w:lineRule="atLeast"/>
    </w:pPr>
    <w:rPr>
      <w:color w:val="FFFFFF"/>
      <w:sz w:val="36"/>
      <w:szCs w:val="36"/>
    </w:rPr>
  </w:style>
  <w:style w:type="paragraph" w:customStyle="1" w:styleId="secondary-list1">
    <w:name w:val="secondary-list1"/>
    <w:basedOn w:val="a"/>
    <w:pPr>
      <w:spacing w:before="100" w:beforeAutospacing="1" w:after="100" w:afterAutospacing="1"/>
    </w:pPr>
    <w:rPr>
      <w:vanish/>
    </w:rPr>
  </w:style>
  <w:style w:type="paragraph" w:customStyle="1" w:styleId="big-menu1">
    <w:name w:val="big-menu1"/>
    <w:basedOn w:val="a"/>
    <w:pPr>
      <w:spacing w:before="180" w:after="100" w:afterAutospacing="1"/>
    </w:pPr>
  </w:style>
  <w:style w:type="paragraph" w:customStyle="1" w:styleId="right-main1">
    <w:name w:val="right-main1"/>
    <w:basedOn w:val="a"/>
    <w:pPr>
      <w:spacing w:before="100" w:beforeAutospacing="1" w:after="100" w:afterAutospacing="1"/>
    </w:pPr>
  </w:style>
  <w:style w:type="paragraph" w:customStyle="1" w:styleId="left-img1">
    <w:name w:val="left-img1"/>
    <w:basedOn w:val="a"/>
    <w:pPr>
      <w:ind w:left="60" w:right="180"/>
    </w:pPr>
  </w:style>
  <w:style w:type="paragraph" w:customStyle="1" w:styleId="right-text1">
    <w:name w:val="right-text1"/>
    <w:basedOn w:val="a"/>
    <w:pPr>
      <w:spacing w:before="100" w:beforeAutospacing="1" w:after="100" w:afterAutospacing="1"/>
    </w:pPr>
  </w:style>
  <w:style w:type="paragraph" w:customStyle="1" w:styleId="time1">
    <w:name w:val="time1"/>
    <w:basedOn w:val="a"/>
    <w:pPr>
      <w:spacing w:before="72" w:after="100" w:afterAutospacing="1" w:line="216" w:lineRule="atLeast"/>
    </w:pPr>
    <w:rPr>
      <w:color w:val="999999"/>
      <w:sz w:val="17"/>
      <w:szCs w:val="17"/>
    </w:rPr>
  </w:style>
  <w:style w:type="paragraph" w:customStyle="1" w:styleId="page-box1">
    <w:name w:val="page-box1"/>
    <w:basedOn w:val="a"/>
    <w:pPr>
      <w:spacing w:before="240" w:after="240"/>
    </w:pPr>
  </w:style>
  <w:style w:type="paragraph" w:customStyle="1" w:styleId="right-article1">
    <w:name w:val="right-article1"/>
    <w:basedOn w:val="a"/>
    <w:pPr>
      <w:spacing w:before="100" w:beforeAutospacing="1" w:after="100" w:afterAutospacing="1"/>
    </w:pPr>
  </w:style>
  <w:style w:type="paragraph" w:customStyle="1" w:styleId="site-box1">
    <w:name w:val="site-box1"/>
    <w:basedOn w:val="a"/>
    <w:pPr>
      <w:spacing w:before="120" w:after="100" w:afterAutospacing="1"/>
    </w:pPr>
  </w:style>
  <w:style w:type="paragraph" w:customStyle="1" w:styleId="site-title1">
    <w:name w:val="site-title1"/>
    <w:basedOn w:val="a"/>
    <w:pPr>
      <w:spacing w:before="100" w:beforeAutospacing="1" w:after="100" w:afterAutospacing="1" w:line="384" w:lineRule="atLeast"/>
    </w:pPr>
    <w:rPr>
      <w:b/>
      <w:bCs/>
      <w:color w:val="FFFFFF"/>
      <w:sz w:val="19"/>
      <w:szCs w:val="19"/>
    </w:rPr>
  </w:style>
  <w:style w:type="paragraph" w:customStyle="1" w:styleId="img-box1">
    <w:name w:val="img-box1"/>
    <w:basedOn w:val="a"/>
  </w:style>
  <w:style w:type="paragraph" w:customStyle="1" w:styleId="flex-next2">
    <w:name w:val="flex-next2"/>
    <w:basedOn w:val="a"/>
    <w:pPr>
      <w:spacing w:before="100" w:beforeAutospacing="1" w:after="100" w:afterAutospacing="1"/>
      <w:jc w:val="right"/>
    </w:pPr>
  </w:style>
  <w:style w:type="character" w:customStyle="1" w:styleId="weather-dq1">
    <w:name w:val="weather-dq1"/>
    <w:basedOn w:val="a0"/>
    <w:rPr>
      <w:b/>
      <w:bCs/>
      <w:color w:val="0168B7"/>
      <w:sz w:val="17"/>
      <w:szCs w:val="17"/>
    </w:rPr>
  </w:style>
  <w:style w:type="character" w:customStyle="1" w:styleId="barrier-free1">
    <w:name w:val="barrier-free1"/>
    <w:basedOn w:val="a0"/>
    <w:rPr>
      <w:b w:val="0"/>
      <w:bCs w:val="0"/>
      <w:color w:val="0168B7"/>
      <w:sz w:val="14"/>
      <w:szCs w:val="14"/>
    </w:rPr>
  </w:style>
  <w:style w:type="character" w:customStyle="1" w:styleId="icon-border2">
    <w:name w:val="icon-border2"/>
    <w:basedOn w:val="a0"/>
    <w:rPr>
      <w:color w:val="0168B7"/>
      <w:sz w:val="14"/>
      <w:szCs w:val="14"/>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paragraph" w:styleId="a8">
    <w:name w:val="Balloon Text"/>
    <w:basedOn w:val="a"/>
    <w:link w:val="Char"/>
    <w:uiPriority w:val="99"/>
    <w:semiHidden/>
    <w:unhideWhenUsed/>
    <w:rsid w:val="00EC74C1"/>
    <w:rPr>
      <w:sz w:val="18"/>
      <w:szCs w:val="18"/>
    </w:rPr>
  </w:style>
  <w:style w:type="character" w:customStyle="1" w:styleId="Char">
    <w:name w:val="批注框文本 Char"/>
    <w:basedOn w:val="a0"/>
    <w:link w:val="a8"/>
    <w:uiPriority w:val="99"/>
    <w:semiHidden/>
    <w:rsid w:val="00EC74C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42489894">
      <w:marLeft w:val="0"/>
      <w:marRight w:val="0"/>
      <w:marTop w:val="0"/>
      <w:marBottom w:val="0"/>
      <w:divBdr>
        <w:top w:val="none" w:sz="0" w:space="0" w:color="auto"/>
        <w:left w:val="none" w:sz="0" w:space="0" w:color="auto"/>
        <w:bottom w:val="none" w:sz="0" w:space="0" w:color="auto"/>
        <w:right w:val="none" w:sz="0" w:space="0" w:color="auto"/>
      </w:divBdr>
    </w:div>
    <w:div w:id="683634342">
      <w:marLeft w:val="0"/>
      <w:marRight w:val="0"/>
      <w:marTop w:val="0"/>
      <w:marBottom w:val="0"/>
      <w:divBdr>
        <w:top w:val="none" w:sz="0" w:space="0" w:color="auto"/>
        <w:left w:val="none" w:sz="0" w:space="0" w:color="auto"/>
        <w:bottom w:val="none" w:sz="0" w:space="0" w:color="auto"/>
        <w:right w:val="none" w:sz="0" w:space="0" w:color="auto"/>
      </w:divBdr>
      <w:divsChild>
        <w:div w:id="229972040">
          <w:marLeft w:val="480"/>
          <w:marRight w:val="0"/>
          <w:marTop w:val="204"/>
          <w:marBottom w:val="0"/>
          <w:divBdr>
            <w:top w:val="none" w:sz="0" w:space="0" w:color="auto"/>
            <w:left w:val="none" w:sz="0" w:space="0" w:color="auto"/>
            <w:bottom w:val="none" w:sz="0" w:space="0" w:color="auto"/>
            <w:right w:val="none" w:sz="0" w:space="0" w:color="auto"/>
          </w:divBdr>
          <w:divsChild>
            <w:div w:id="1062824521">
              <w:marLeft w:val="60"/>
              <w:marRight w:val="60"/>
              <w:marTop w:val="0"/>
              <w:marBottom w:val="0"/>
              <w:divBdr>
                <w:top w:val="none" w:sz="0" w:space="0" w:color="auto"/>
                <w:left w:val="none" w:sz="0" w:space="0" w:color="auto"/>
                <w:bottom w:val="none" w:sz="0" w:space="0" w:color="auto"/>
                <w:right w:val="none" w:sz="0" w:space="0" w:color="auto"/>
              </w:divBdr>
            </w:div>
          </w:divsChild>
        </w:div>
        <w:div w:id="390155510">
          <w:marLeft w:val="0"/>
          <w:marRight w:val="0"/>
          <w:marTop w:val="0"/>
          <w:marBottom w:val="0"/>
          <w:divBdr>
            <w:top w:val="none" w:sz="0" w:space="0" w:color="auto"/>
            <w:left w:val="none" w:sz="0" w:space="0" w:color="auto"/>
            <w:bottom w:val="none" w:sz="0" w:space="0" w:color="auto"/>
            <w:right w:val="none" w:sz="0" w:space="0" w:color="auto"/>
          </w:divBdr>
          <w:divsChild>
            <w:div w:id="610282657">
              <w:marLeft w:val="0"/>
              <w:marRight w:val="0"/>
              <w:marTop w:val="72"/>
              <w:marBottom w:val="0"/>
              <w:divBdr>
                <w:top w:val="none" w:sz="0" w:space="0" w:color="auto"/>
                <w:left w:val="none" w:sz="0" w:space="0" w:color="auto"/>
                <w:bottom w:val="none" w:sz="0" w:space="0" w:color="auto"/>
                <w:right w:val="none" w:sz="0" w:space="0" w:color="auto"/>
              </w:divBdr>
            </w:div>
            <w:div w:id="6647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9514">
      <w:marLeft w:val="0"/>
      <w:marRight w:val="0"/>
      <w:marTop w:val="0"/>
      <w:marBottom w:val="0"/>
      <w:divBdr>
        <w:top w:val="none" w:sz="0" w:space="0" w:color="auto"/>
        <w:left w:val="none" w:sz="0" w:space="0" w:color="auto"/>
        <w:bottom w:val="none" w:sz="0" w:space="0" w:color="auto"/>
        <w:right w:val="none" w:sz="0" w:space="0" w:color="auto"/>
      </w:divBdr>
    </w:div>
    <w:div w:id="1060707995">
      <w:marLeft w:val="0"/>
      <w:marRight w:val="0"/>
      <w:marTop w:val="0"/>
      <w:marBottom w:val="0"/>
      <w:divBdr>
        <w:top w:val="none" w:sz="0" w:space="0" w:color="auto"/>
        <w:left w:val="none" w:sz="0" w:space="0" w:color="auto"/>
        <w:bottom w:val="none" w:sz="0" w:space="0" w:color="auto"/>
        <w:right w:val="none" w:sz="0" w:space="0" w:color="auto"/>
      </w:divBdr>
    </w:div>
    <w:div w:id="1311323701">
      <w:marLeft w:val="0"/>
      <w:marRight w:val="0"/>
      <w:marTop w:val="0"/>
      <w:marBottom w:val="0"/>
      <w:divBdr>
        <w:top w:val="single" w:sz="12" w:space="0" w:color="0168B7"/>
        <w:left w:val="none" w:sz="0" w:space="0" w:color="auto"/>
        <w:bottom w:val="none" w:sz="0" w:space="0" w:color="auto"/>
        <w:right w:val="none" w:sz="0" w:space="0" w:color="auto"/>
      </w:divBdr>
      <w:divsChild>
        <w:div w:id="1272779919">
          <w:marLeft w:val="0"/>
          <w:marRight w:val="0"/>
          <w:marTop w:val="0"/>
          <w:marBottom w:val="0"/>
          <w:divBdr>
            <w:top w:val="none" w:sz="0" w:space="0" w:color="auto"/>
            <w:left w:val="none" w:sz="0" w:space="0" w:color="auto"/>
            <w:bottom w:val="none" w:sz="0" w:space="0" w:color="auto"/>
            <w:right w:val="none" w:sz="0" w:space="0" w:color="auto"/>
          </w:divBdr>
          <w:divsChild>
            <w:div w:id="1512449816">
              <w:marLeft w:val="0"/>
              <w:marRight w:val="0"/>
              <w:marTop w:val="0"/>
              <w:marBottom w:val="0"/>
              <w:divBdr>
                <w:top w:val="single" w:sz="4" w:space="0" w:color="F1F1F1"/>
                <w:left w:val="single" w:sz="4" w:space="15" w:color="F1F1F1"/>
                <w:bottom w:val="none" w:sz="0" w:space="0" w:color="auto"/>
                <w:right w:val="none" w:sz="0" w:space="0" w:color="auto"/>
              </w:divBdr>
              <w:divsChild>
                <w:div w:id="765883043">
                  <w:marLeft w:val="0"/>
                  <w:marRight w:val="0"/>
                  <w:marTop w:val="0"/>
                  <w:marBottom w:val="0"/>
                  <w:divBdr>
                    <w:top w:val="none" w:sz="0" w:space="0" w:color="auto"/>
                    <w:left w:val="none" w:sz="0" w:space="0" w:color="auto"/>
                    <w:bottom w:val="none" w:sz="0" w:space="0" w:color="auto"/>
                    <w:right w:val="none" w:sz="0" w:space="0" w:color="auto"/>
                  </w:divBdr>
                </w:div>
                <w:div w:id="1013148351">
                  <w:marLeft w:val="0"/>
                  <w:marRight w:val="0"/>
                  <w:marTop w:val="0"/>
                  <w:marBottom w:val="0"/>
                  <w:divBdr>
                    <w:top w:val="none" w:sz="0" w:space="0" w:color="auto"/>
                    <w:left w:val="none" w:sz="0" w:space="0" w:color="auto"/>
                    <w:bottom w:val="none" w:sz="0" w:space="0" w:color="auto"/>
                    <w:right w:val="none" w:sz="0" w:space="0" w:color="auto"/>
                  </w:divBdr>
                  <w:divsChild>
                    <w:div w:id="745566401">
                      <w:marLeft w:val="0"/>
                      <w:marRight w:val="0"/>
                      <w:marTop w:val="0"/>
                      <w:marBottom w:val="0"/>
                      <w:divBdr>
                        <w:top w:val="none" w:sz="0" w:space="0" w:color="auto"/>
                        <w:left w:val="none" w:sz="0" w:space="0" w:color="auto"/>
                        <w:bottom w:val="none" w:sz="0" w:space="0" w:color="auto"/>
                        <w:right w:val="none" w:sz="0" w:space="0" w:color="auto"/>
                      </w:divBdr>
                      <w:divsChild>
                        <w:div w:id="2130737558">
                          <w:marLeft w:val="0"/>
                          <w:marRight w:val="0"/>
                          <w:marTop w:val="0"/>
                          <w:marBottom w:val="0"/>
                          <w:divBdr>
                            <w:top w:val="none" w:sz="0" w:space="0" w:color="auto"/>
                            <w:left w:val="none" w:sz="0" w:space="0" w:color="auto"/>
                            <w:bottom w:val="none" w:sz="0" w:space="0" w:color="auto"/>
                            <w:right w:val="none" w:sz="0" w:space="0" w:color="auto"/>
                          </w:divBdr>
                          <w:divsChild>
                            <w:div w:id="8909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059189">
          <w:marLeft w:val="6480"/>
          <w:marRight w:val="0"/>
          <w:marTop w:val="0"/>
          <w:marBottom w:val="0"/>
          <w:divBdr>
            <w:top w:val="none" w:sz="0" w:space="0" w:color="auto"/>
            <w:left w:val="none" w:sz="0" w:space="0" w:color="auto"/>
            <w:bottom w:val="none" w:sz="0" w:space="0" w:color="auto"/>
            <w:right w:val="none" w:sz="0" w:space="0" w:color="auto"/>
          </w:divBdr>
          <w:divsChild>
            <w:div w:id="9928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56024">
      <w:marLeft w:val="-4944"/>
      <w:marRight w:val="0"/>
      <w:marTop w:val="0"/>
      <w:marBottom w:val="0"/>
      <w:divBdr>
        <w:top w:val="none" w:sz="0" w:space="0" w:color="auto"/>
        <w:left w:val="none" w:sz="0" w:space="0" w:color="auto"/>
        <w:bottom w:val="none" w:sz="0" w:space="0" w:color="auto"/>
        <w:right w:val="none" w:sz="0" w:space="0" w:color="auto"/>
      </w:divBdr>
      <w:divsChild>
        <w:div w:id="950741516">
          <w:marLeft w:val="0"/>
          <w:marRight w:val="0"/>
          <w:marTop w:val="0"/>
          <w:marBottom w:val="0"/>
          <w:divBdr>
            <w:top w:val="none" w:sz="0" w:space="0" w:color="auto"/>
            <w:left w:val="none" w:sz="0" w:space="0" w:color="auto"/>
            <w:bottom w:val="none" w:sz="0" w:space="0" w:color="auto"/>
            <w:right w:val="none" w:sz="0" w:space="0" w:color="auto"/>
          </w:divBdr>
        </w:div>
        <w:div w:id="1394281382">
          <w:marLeft w:val="0"/>
          <w:marRight w:val="0"/>
          <w:marTop w:val="0"/>
          <w:marBottom w:val="0"/>
          <w:divBdr>
            <w:top w:val="none" w:sz="0" w:space="0" w:color="auto"/>
            <w:left w:val="none" w:sz="0" w:space="0" w:color="auto"/>
            <w:bottom w:val="none" w:sz="0" w:space="0" w:color="auto"/>
            <w:right w:val="none" w:sz="0" w:space="0" w:color="auto"/>
          </w:divBdr>
          <w:divsChild>
            <w:div w:id="196433421">
              <w:marLeft w:val="0"/>
              <w:marRight w:val="0"/>
              <w:marTop w:val="0"/>
              <w:marBottom w:val="0"/>
              <w:divBdr>
                <w:top w:val="none" w:sz="0" w:space="0" w:color="auto"/>
                <w:left w:val="none" w:sz="0" w:space="0" w:color="auto"/>
                <w:bottom w:val="none" w:sz="0" w:space="0" w:color="auto"/>
                <w:right w:val="none" w:sz="0" w:space="0" w:color="auto"/>
              </w:divBdr>
              <w:divsChild>
                <w:div w:id="597522571">
                  <w:marLeft w:val="0"/>
                  <w:marRight w:val="0"/>
                  <w:marTop w:val="0"/>
                  <w:marBottom w:val="96"/>
                  <w:divBdr>
                    <w:top w:val="none" w:sz="0" w:space="0" w:color="auto"/>
                    <w:left w:val="none" w:sz="0" w:space="0" w:color="auto"/>
                    <w:bottom w:val="none" w:sz="0" w:space="0" w:color="auto"/>
                    <w:right w:val="none" w:sz="0" w:space="0" w:color="auto"/>
                  </w:divBdr>
                </w:div>
                <w:div w:id="1737194077">
                  <w:marLeft w:val="0"/>
                  <w:marRight w:val="0"/>
                  <w:marTop w:val="0"/>
                  <w:marBottom w:val="0"/>
                  <w:divBdr>
                    <w:top w:val="none" w:sz="0" w:space="0" w:color="auto"/>
                    <w:left w:val="none" w:sz="0" w:space="0" w:color="auto"/>
                    <w:bottom w:val="none" w:sz="0" w:space="0" w:color="auto"/>
                    <w:right w:val="none" w:sz="0" w:space="0" w:color="auto"/>
                  </w:divBdr>
                </w:div>
                <w:div w:id="1854302036">
                  <w:marLeft w:val="0"/>
                  <w:marRight w:val="0"/>
                  <w:marTop w:val="0"/>
                  <w:marBottom w:val="96"/>
                  <w:divBdr>
                    <w:top w:val="none" w:sz="0" w:space="0" w:color="auto"/>
                    <w:left w:val="none" w:sz="0" w:space="0" w:color="auto"/>
                    <w:bottom w:val="none" w:sz="0" w:space="0" w:color="auto"/>
                    <w:right w:val="none" w:sz="0" w:space="0" w:color="auto"/>
                  </w:divBdr>
                </w:div>
                <w:div w:id="141699450">
                  <w:marLeft w:val="0"/>
                  <w:marRight w:val="0"/>
                  <w:marTop w:val="0"/>
                  <w:marBottom w:val="0"/>
                  <w:divBdr>
                    <w:top w:val="none" w:sz="0" w:space="0" w:color="auto"/>
                    <w:left w:val="none" w:sz="0" w:space="0" w:color="auto"/>
                    <w:bottom w:val="none" w:sz="0" w:space="0" w:color="auto"/>
                    <w:right w:val="none" w:sz="0" w:space="0" w:color="auto"/>
                  </w:divBdr>
                </w:div>
                <w:div w:id="1299141908">
                  <w:marLeft w:val="0"/>
                  <w:marRight w:val="0"/>
                  <w:marTop w:val="0"/>
                  <w:marBottom w:val="96"/>
                  <w:divBdr>
                    <w:top w:val="none" w:sz="0" w:space="0" w:color="auto"/>
                    <w:left w:val="none" w:sz="0" w:space="0" w:color="auto"/>
                    <w:bottom w:val="none" w:sz="0" w:space="0" w:color="auto"/>
                    <w:right w:val="none" w:sz="0" w:space="0" w:color="auto"/>
                  </w:divBdr>
                </w:div>
                <w:div w:id="1230769133">
                  <w:marLeft w:val="0"/>
                  <w:marRight w:val="0"/>
                  <w:marTop w:val="0"/>
                  <w:marBottom w:val="0"/>
                  <w:divBdr>
                    <w:top w:val="none" w:sz="0" w:space="0" w:color="auto"/>
                    <w:left w:val="none" w:sz="0" w:space="0" w:color="auto"/>
                    <w:bottom w:val="none" w:sz="0" w:space="0" w:color="auto"/>
                    <w:right w:val="none" w:sz="0" w:space="0" w:color="auto"/>
                  </w:divBdr>
                </w:div>
                <w:div w:id="42293634">
                  <w:marLeft w:val="0"/>
                  <w:marRight w:val="0"/>
                  <w:marTop w:val="0"/>
                  <w:marBottom w:val="96"/>
                  <w:divBdr>
                    <w:top w:val="none" w:sz="0" w:space="0" w:color="auto"/>
                    <w:left w:val="none" w:sz="0" w:space="0" w:color="auto"/>
                    <w:bottom w:val="none" w:sz="0" w:space="0" w:color="auto"/>
                    <w:right w:val="none" w:sz="0" w:space="0" w:color="auto"/>
                  </w:divBdr>
                </w:div>
                <w:div w:id="555968742">
                  <w:marLeft w:val="0"/>
                  <w:marRight w:val="0"/>
                  <w:marTop w:val="0"/>
                  <w:marBottom w:val="0"/>
                  <w:divBdr>
                    <w:top w:val="none" w:sz="0" w:space="0" w:color="auto"/>
                    <w:left w:val="none" w:sz="0" w:space="0" w:color="auto"/>
                    <w:bottom w:val="none" w:sz="0" w:space="0" w:color="auto"/>
                    <w:right w:val="none" w:sz="0" w:space="0" w:color="auto"/>
                  </w:divBdr>
                </w:div>
                <w:div w:id="1608350929">
                  <w:marLeft w:val="0"/>
                  <w:marRight w:val="0"/>
                  <w:marTop w:val="0"/>
                  <w:marBottom w:val="96"/>
                  <w:divBdr>
                    <w:top w:val="none" w:sz="0" w:space="0" w:color="auto"/>
                    <w:left w:val="none" w:sz="0" w:space="0" w:color="auto"/>
                    <w:bottom w:val="none" w:sz="0" w:space="0" w:color="auto"/>
                    <w:right w:val="none" w:sz="0" w:space="0" w:color="auto"/>
                  </w:divBdr>
                </w:div>
                <w:div w:id="127162625">
                  <w:marLeft w:val="0"/>
                  <w:marRight w:val="0"/>
                  <w:marTop w:val="0"/>
                  <w:marBottom w:val="0"/>
                  <w:divBdr>
                    <w:top w:val="none" w:sz="0" w:space="0" w:color="auto"/>
                    <w:left w:val="none" w:sz="0" w:space="0" w:color="auto"/>
                    <w:bottom w:val="none" w:sz="0" w:space="0" w:color="auto"/>
                    <w:right w:val="none" w:sz="0" w:space="0" w:color="auto"/>
                  </w:divBdr>
                </w:div>
                <w:div w:id="546377477">
                  <w:marLeft w:val="0"/>
                  <w:marRight w:val="0"/>
                  <w:marTop w:val="0"/>
                  <w:marBottom w:val="96"/>
                  <w:divBdr>
                    <w:top w:val="none" w:sz="0" w:space="0" w:color="auto"/>
                    <w:left w:val="none" w:sz="0" w:space="0" w:color="auto"/>
                    <w:bottom w:val="none" w:sz="0" w:space="0" w:color="auto"/>
                    <w:right w:val="none" w:sz="0" w:space="0" w:color="auto"/>
                  </w:divBdr>
                </w:div>
                <w:div w:id="16363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490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zhxz.gov.cn/images/zhxz_app.png" TargetMode="External"/><Relationship Id="rId5" Type="http://schemas.openxmlformats.org/officeDocument/2006/relationships/hyperlink" Target="http://www.zhxz.gov.cn/qt/phone/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11207</Words>
  <Characters>1108</Characters>
  <Application>Microsoft Office Word</Application>
  <DocSecurity>4</DocSecurity>
  <Lines>9</Lines>
  <Paragraphs>24</Paragraphs>
  <ScaleCrop>false</ScaleCrop>
  <Company>CHINA</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珠海香洲--香洲区创新发展若干措施</dc:title>
  <dc:subject/>
  <dc:creator>linfan</dc:creator>
  <cp:keywords/>
  <dc:description/>
  <cp:lastModifiedBy>linfan</cp:lastModifiedBy>
  <cp:revision>2</cp:revision>
  <dcterms:created xsi:type="dcterms:W3CDTF">2018-05-02T18:27:00Z</dcterms:created>
  <dcterms:modified xsi:type="dcterms:W3CDTF">2018-05-02T18:27:00Z</dcterms:modified>
</cp:coreProperties>
</file>