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00" w:type="pct"/>
        <w:tblCellSpacing w:w="0" w:type="dxa"/>
        <w:shd w:val="clear" w:color="auto" w:fill="FFFFFF"/>
        <w:tblCellMar>
          <w:left w:w="0" w:type="dxa"/>
          <w:right w:w="0" w:type="dxa"/>
        </w:tblCellMar>
        <w:tblLook w:val="04A0" w:firstRow="1" w:lastRow="0" w:firstColumn="1" w:lastColumn="0" w:noHBand="0" w:noVBand="1"/>
      </w:tblPr>
      <w:tblGrid>
        <w:gridCol w:w="7974"/>
      </w:tblGrid>
      <w:tr w:rsidR="00235DE6" w:rsidRPr="00235DE6" w14:paraId="5CC8FC1E" w14:textId="77777777" w:rsidTr="00235DE6">
        <w:trPr>
          <w:trHeight w:val="600"/>
          <w:tblCellSpacing w:w="0" w:type="dxa"/>
        </w:trPr>
        <w:tc>
          <w:tcPr>
            <w:tcW w:w="0" w:type="auto"/>
            <w:shd w:val="clear" w:color="auto" w:fill="FFFFFF"/>
            <w:vAlign w:val="center"/>
            <w:hideMark/>
          </w:tcPr>
          <w:p w14:paraId="7A7B0703" w14:textId="77777777" w:rsidR="00235DE6" w:rsidRPr="00235DE6" w:rsidRDefault="00235DE6" w:rsidP="00235DE6">
            <w:pPr>
              <w:widowControl/>
              <w:spacing w:line="306" w:lineRule="atLeast"/>
              <w:jc w:val="center"/>
              <w:rPr>
                <w:rFonts w:ascii="微软雅黑" w:eastAsia="微软雅黑" w:hAnsi="微软雅黑" w:cs="宋体"/>
                <w:color w:val="000000"/>
                <w:kern w:val="0"/>
                <w:sz w:val="18"/>
                <w:szCs w:val="18"/>
              </w:rPr>
            </w:pPr>
            <w:r w:rsidRPr="00235DE6">
              <w:rPr>
                <w:rFonts w:ascii="微软雅黑" w:eastAsia="微软雅黑" w:hAnsi="微软雅黑" w:cs="宋体" w:hint="eastAsia"/>
                <w:color w:val="000000"/>
                <w:kern w:val="0"/>
                <w:sz w:val="18"/>
                <w:szCs w:val="18"/>
              </w:rPr>
              <w:t>重庆市人民政府办公厅关于印发重庆市高端研发资源引进培育实施方案的通知</w:t>
            </w:r>
          </w:p>
        </w:tc>
      </w:tr>
      <w:tr w:rsidR="00235DE6" w:rsidRPr="00235DE6" w14:paraId="466255AC" w14:textId="77777777" w:rsidTr="00235DE6">
        <w:trPr>
          <w:tblCellSpacing w:w="0" w:type="dxa"/>
        </w:trPr>
        <w:tc>
          <w:tcPr>
            <w:tcW w:w="0" w:type="auto"/>
            <w:shd w:val="clear" w:color="auto" w:fill="FFFFFF"/>
            <w:vAlign w:val="center"/>
            <w:hideMark/>
          </w:tcPr>
          <w:p w14:paraId="257CF8D2" w14:textId="77777777" w:rsidR="00235DE6" w:rsidRPr="00235DE6" w:rsidRDefault="00235DE6" w:rsidP="00235DE6">
            <w:pPr>
              <w:widowControl/>
              <w:spacing w:line="306" w:lineRule="atLeast"/>
              <w:jc w:val="center"/>
              <w:rPr>
                <w:rFonts w:ascii="微软雅黑" w:eastAsia="微软雅黑" w:hAnsi="微软雅黑" w:cs="宋体" w:hint="eastAsia"/>
                <w:color w:val="999999"/>
                <w:kern w:val="0"/>
                <w:sz w:val="18"/>
                <w:szCs w:val="18"/>
              </w:rPr>
            </w:pPr>
            <w:r w:rsidRPr="00235DE6">
              <w:rPr>
                <w:rFonts w:ascii="微软雅黑" w:eastAsia="微软雅黑" w:hAnsi="微软雅黑" w:cs="宋体" w:hint="eastAsia"/>
                <w:color w:val="999999"/>
                <w:kern w:val="0"/>
                <w:sz w:val="18"/>
                <w:szCs w:val="18"/>
              </w:rPr>
              <w:t xml:space="preserve">来自： 政策法规处 　发表人： admin 　发布文号: </w:t>
            </w:r>
            <w:proofErr w:type="gramStart"/>
            <w:r w:rsidRPr="00235DE6">
              <w:rPr>
                <w:rFonts w:ascii="微软雅黑" w:eastAsia="微软雅黑" w:hAnsi="微软雅黑" w:cs="宋体" w:hint="eastAsia"/>
                <w:color w:val="999999"/>
                <w:kern w:val="0"/>
                <w:sz w:val="18"/>
                <w:szCs w:val="18"/>
              </w:rPr>
              <w:t>渝府办</w:t>
            </w:r>
            <w:proofErr w:type="gramEnd"/>
            <w:r w:rsidRPr="00235DE6">
              <w:rPr>
                <w:rFonts w:ascii="微软雅黑" w:eastAsia="微软雅黑" w:hAnsi="微软雅黑" w:cs="宋体" w:hint="eastAsia"/>
                <w:color w:val="999999"/>
                <w:kern w:val="0"/>
                <w:sz w:val="18"/>
                <w:szCs w:val="18"/>
              </w:rPr>
              <w:t>发 〔2016〕 86号 审核人: 发布时间： 2018-07-03  浏览数：717</w:t>
            </w:r>
          </w:p>
        </w:tc>
      </w:tr>
      <w:tr w:rsidR="00235DE6" w:rsidRPr="00235DE6" w14:paraId="0A7A8EFB" w14:textId="77777777" w:rsidTr="00235DE6">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974"/>
            </w:tblGrid>
            <w:tr w:rsidR="00235DE6" w:rsidRPr="00235DE6" w14:paraId="7BFC51A1" w14:textId="77777777">
              <w:trPr>
                <w:tblCellSpacing w:w="0" w:type="dxa"/>
              </w:trPr>
              <w:tc>
                <w:tcPr>
                  <w:tcW w:w="0" w:type="auto"/>
                  <w:vAlign w:val="center"/>
                  <w:hideMark/>
                </w:tcPr>
                <w:p w14:paraId="457D88F7" w14:textId="77777777" w:rsidR="00235DE6" w:rsidRPr="00235DE6" w:rsidRDefault="00235DE6" w:rsidP="00235DE6">
                  <w:pPr>
                    <w:widowControl/>
                    <w:spacing w:line="306" w:lineRule="atLeast"/>
                    <w:jc w:val="right"/>
                    <w:rPr>
                      <w:rFonts w:ascii="宋体" w:eastAsia="宋体" w:hAnsi="宋体" w:cs="宋体" w:hint="eastAsia"/>
                      <w:color w:val="000000"/>
                      <w:kern w:val="0"/>
                      <w:sz w:val="18"/>
                      <w:szCs w:val="18"/>
                    </w:rPr>
                  </w:pPr>
                  <w:r w:rsidRPr="00235DE6">
                    <w:rPr>
                      <w:rFonts w:ascii="宋体" w:eastAsia="宋体" w:hAnsi="宋体" w:cs="宋体"/>
                      <w:noProof/>
                      <w:color w:val="000000"/>
                      <w:kern w:val="0"/>
                      <w:sz w:val="18"/>
                      <w:szCs w:val="18"/>
                    </w:rPr>
                    <w:drawing>
                      <wp:inline distT="0" distB="0" distL="0" distR="0" wp14:anchorId="50C4D6B2" wp14:editId="2A6D53F1">
                        <wp:extent cx="133350" cy="85725"/>
                        <wp:effectExtent l="0" t="0" r="0" b="9525"/>
                        <wp:docPr id="5" name="图片 5" descr="http://www.cstc.gov.cn/images/v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stc.gov.cn/images/v_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85725"/>
                                </a:xfrm>
                                <a:prstGeom prst="rect">
                                  <a:avLst/>
                                </a:prstGeom>
                                <a:noFill/>
                                <a:ln>
                                  <a:noFill/>
                                </a:ln>
                              </pic:spPr>
                            </pic:pic>
                          </a:graphicData>
                        </a:graphic>
                      </wp:inline>
                    </w:drawing>
                  </w:r>
                </w:p>
              </w:tc>
            </w:tr>
          </w:tbl>
          <w:p w14:paraId="19D48EE4" w14:textId="77777777" w:rsidR="00235DE6" w:rsidRPr="00235DE6" w:rsidRDefault="00235DE6" w:rsidP="00235DE6">
            <w:pPr>
              <w:widowControl/>
              <w:spacing w:line="306" w:lineRule="atLeast"/>
              <w:jc w:val="left"/>
              <w:rPr>
                <w:rFonts w:ascii="微软雅黑" w:eastAsia="微软雅黑" w:hAnsi="微软雅黑" w:cs="宋体"/>
                <w:color w:val="000000"/>
                <w:kern w:val="0"/>
                <w:sz w:val="18"/>
                <w:szCs w:val="18"/>
              </w:rPr>
            </w:pPr>
          </w:p>
        </w:tc>
      </w:tr>
      <w:tr w:rsidR="00235DE6" w:rsidRPr="00235DE6" w14:paraId="15289410" w14:textId="77777777" w:rsidTr="00235DE6">
        <w:trPr>
          <w:tblCellSpacing w:w="0" w:type="dxa"/>
        </w:trPr>
        <w:tc>
          <w:tcPr>
            <w:tcW w:w="0" w:type="auto"/>
            <w:shd w:val="clear" w:color="auto" w:fill="FFFFFF"/>
            <w:tcMar>
              <w:top w:w="225" w:type="dxa"/>
              <w:left w:w="0" w:type="dxa"/>
              <w:bottom w:w="0" w:type="dxa"/>
              <w:right w:w="0" w:type="dxa"/>
            </w:tcMar>
            <w:vAlign w:val="center"/>
            <w:hideMark/>
          </w:tcPr>
          <w:p w14:paraId="1ACBF7F8" w14:textId="77777777" w:rsidR="00235DE6" w:rsidRPr="00235DE6" w:rsidRDefault="00235DE6" w:rsidP="00235DE6">
            <w:pPr>
              <w:widowControl/>
              <w:spacing w:line="357" w:lineRule="atLeast"/>
              <w:jc w:val="left"/>
              <w:rPr>
                <w:rFonts w:ascii="微软雅黑" w:eastAsia="微软雅黑" w:hAnsi="微软雅黑" w:cs="宋体"/>
                <w:color w:val="000000"/>
                <w:kern w:val="0"/>
                <w:szCs w:val="21"/>
              </w:rPr>
            </w:pPr>
            <w:r w:rsidRPr="00235DE6">
              <w:rPr>
                <w:rFonts w:ascii="微软雅黑" w:eastAsia="微软雅黑" w:hAnsi="微软雅黑" w:cs="宋体" w:hint="eastAsia"/>
                <w:color w:val="000000"/>
                <w:kern w:val="0"/>
                <w:szCs w:val="21"/>
              </w:rPr>
              <w:t xml:space="preserve">　　各区县（自治县）人民政府，市政府各部门，有关单位：</w:t>
            </w:r>
          </w:p>
          <w:p w14:paraId="1DF4B532"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《重庆市高端研发资源引进培育实施方案》已经市政府同意，现印发给你们，请认真贯彻执行。</w:t>
            </w:r>
          </w:p>
          <w:p w14:paraId="4FD7F94F"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w:t>
            </w:r>
          </w:p>
          <w:p w14:paraId="2B8423BE"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w:t>
            </w:r>
          </w:p>
          <w:p w14:paraId="075BF3EA" w14:textId="77777777" w:rsidR="00235DE6" w:rsidRPr="00235DE6" w:rsidRDefault="00235DE6" w:rsidP="00235DE6">
            <w:pPr>
              <w:widowControl/>
              <w:spacing w:line="357" w:lineRule="atLeast"/>
              <w:jc w:val="righ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重庆市人民政府办公厅</w:t>
            </w:r>
            <w:r w:rsidRPr="00235DE6">
              <w:rPr>
                <w:rFonts w:ascii="微软雅黑" w:eastAsia="微软雅黑" w:hAnsi="微软雅黑" w:cs="宋体" w:hint="eastAsia"/>
                <w:color w:val="000000"/>
                <w:kern w:val="0"/>
                <w:szCs w:val="21"/>
              </w:rPr>
              <w:br/>
              <w:t xml:space="preserve">　　 2016年5月20日</w:t>
            </w:r>
          </w:p>
          <w:p w14:paraId="6DA8FAD9"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（此件公开发布）</w:t>
            </w:r>
          </w:p>
          <w:p w14:paraId="06AC426F" w14:textId="77777777" w:rsidR="00235DE6" w:rsidRPr="00235DE6" w:rsidRDefault="00235DE6" w:rsidP="00235DE6">
            <w:pPr>
              <w:widowControl/>
              <w:spacing w:line="357" w:lineRule="atLeast"/>
              <w:jc w:val="left"/>
              <w:rPr>
                <w:rFonts w:ascii="宋体" w:eastAsia="宋体" w:hAnsi="宋体" w:cs="宋体" w:hint="eastAsia"/>
                <w:kern w:val="0"/>
                <w:sz w:val="24"/>
                <w:szCs w:val="24"/>
              </w:rPr>
            </w:pPr>
            <w:r w:rsidRPr="00235DE6">
              <w:rPr>
                <w:rFonts w:ascii="微软雅黑" w:eastAsia="微软雅黑" w:hAnsi="微软雅黑" w:cs="宋体" w:hint="eastAsia"/>
                <w:color w:val="000000"/>
                <w:kern w:val="0"/>
                <w:szCs w:val="21"/>
              </w:rPr>
              <w:br/>
              <w:t xml:space="preserve">　　</w:t>
            </w:r>
          </w:p>
          <w:p w14:paraId="197D4982" w14:textId="77777777" w:rsidR="00235DE6" w:rsidRPr="00235DE6" w:rsidRDefault="00235DE6" w:rsidP="00235DE6">
            <w:pPr>
              <w:widowControl/>
              <w:spacing w:line="357" w:lineRule="atLeast"/>
              <w:jc w:val="left"/>
              <w:rPr>
                <w:rFonts w:ascii="宋体" w:eastAsia="宋体" w:hAnsi="宋体" w:cs="宋体" w:hint="eastAsia"/>
                <w:kern w:val="0"/>
                <w:sz w:val="24"/>
                <w:szCs w:val="24"/>
              </w:rPr>
            </w:pPr>
            <w:r w:rsidRPr="00235DE6">
              <w:rPr>
                <w:rFonts w:ascii="微软雅黑" w:eastAsia="微软雅黑" w:hAnsi="微软雅黑" w:cs="宋体" w:hint="eastAsia"/>
                <w:color w:val="000000"/>
                <w:kern w:val="0"/>
                <w:szCs w:val="21"/>
              </w:rPr>
              <w:t xml:space="preserve">　　</w:t>
            </w:r>
          </w:p>
          <w:p w14:paraId="7679C801"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w:t>
            </w:r>
          </w:p>
          <w:p w14:paraId="38FACF04" w14:textId="77777777" w:rsidR="00235DE6" w:rsidRPr="00235DE6" w:rsidRDefault="00235DE6" w:rsidP="00235DE6">
            <w:pPr>
              <w:widowControl/>
              <w:spacing w:line="357" w:lineRule="atLeast"/>
              <w:jc w:val="center"/>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重庆市高端研发资源引进培育实施方案</w:t>
            </w:r>
          </w:p>
          <w:p w14:paraId="08E4A1A6"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w:t>
            </w:r>
          </w:p>
          <w:p w14:paraId="461A24F0"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为认真贯彻落实创新驱动发展战略，优化创新资源布局，切实解决我市现有研发资源严重短缺、创新能力不足问题，重点围绕十大战略性新兴产业，加大引进国内外高端研发资源力度，培育新型高端研发平台，增强服务经济社会发展和企业技术创新的能力与水平，制定本实施方案。</w:t>
            </w:r>
          </w:p>
          <w:p w14:paraId="7407D789"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w:t>
            </w:r>
            <w:r w:rsidRPr="00235DE6">
              <w:rPr>
                <w:rFonts w:ascii="微软雅黑" w:eastAsia="微软雅黑" w:hAnsi="微软雅黑" w:cs="宋体" w:hint="eastAsia"/>
                <w:b/>
                <w:bCs/>
                <w:color w:val="000000"/>
                <w:kern w:val="0"/>
                <w:szCs w:val="21"/>
              </w:rPr>
              <w:t>一、工作思路和目标</w:t>
            </w:r>
          </w:p>
          <w:p w14:paraId="6BE4A67E"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lastRenderedPageBreak/>
              <w:t xml:space="preserve">　　坚持政府统筹、部门协同、区县联动、社会参与，按照“产学研协同创新、国内外合作创新、线上线下互动创新”的开放式创新要求，以引进国内外高端研发机构和高层次科技创新人才（团队）为重点，培育独立法人实体、市场化运作的新型高端研发平台。力争在3年内，围绕先进制造、互联网、大健康、新能源和新材料等产业，培育产业技术创新研究院10家左右，形成一批规模化应用的核心技术和产品，孵化一批高新技术企业和科技型中小企业，推动新型高端研发平台成为集聚创新要素、整合跨界资源、支撑和引领产业发展的核心载体。</w:t>
            </w:r>
          </w:p>
          <w:p w14:paraId="3DD41633"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w:t>
            </w:r>
            <w:r w:rsidRPr="00235DE6">
              <w:rPr>
                <w:rFonts w:ascii="微软雅黑" w:eastAsia="微软雅黑" w:hAnsi="微软雅黑" w:cs="宋体" w:hint="eastAsia"/>
                <w:b/>
                <w:bCs/>
                <w:color w:val="000000"/>
                <w:kern w:val="0"/>
                <w:szCs w:val="21"/>
              </w:rPr>
              <w:t>二、引进范围</w:t>
            </w:r>
          </w:p>
          <w:p w14:paraId="0C64880F"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按照“开放创新、国际视野、政府引导、以用为本”的原则，积极引进国内一流、国际上具有较好影响的高端研发机构和高层次创新人才（团队）。</w:t>
            </w:r>
          </w:p>
          <w:p w14:paraId="07C45FA6"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（一）高端研发机构。</w:t>
            </w:r>
          </w:p>
          <w:p w14:paraId="13961FA0"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1．列入美国《福布斯》、美国《财富》杂志、英国《金融时报》世界500强名录的企业，列入美国财富杂志（中文版）、中国企业联合会、中国企业家协会中国500强名录的企业；</w:t>
            </w:r>
          </w:p>
          <w:p w14:paraId="0147F912"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2．世界排名前100位高校、国内排名前30位高校的优秀研发机构；</w:t>
            </w:r>
          </w:p>
          <w:p w14:paraId="412AE701"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3．中国科学院、中国工程院等国家级院所，以及行业内公认的、具有较强研发实力的研发机构；</w:t>
            </w:r>
          </w:p>
          <w:p w14:paraId="25ECE570"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4．国家工程（技术）研究中心、国家重点（工程）实验室、国家企业技术中心等国家级研发平台。</w:t>
            </w:r>
          </w:p>
          <w:p w14:paraId="0C2AB0FD"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（二）高层次创新人才（团队）。</w:t>
            </w:r>
          </w:p>
          <w:p w14:paraId="5CD48F55"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1．海外院士及其团队，国际性科技奖励获得者及其团队，在国外著名高校、研究机构担任相当于副教授及以上职务的创新人才；</w:t>
            </w:r>
          </w:p>
          <w:p w14:paraId="618B9D46"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lastRenderedPageBreak/>
              <w:t xml:space="preserve">　　2．两院院士，海外高层次人才引进计划（简称“千人计划”）人选、国家高层次人才特殊支持计划（简称“万人计划”）人选等国家级人才（团队），以及中科院“百人计划”人选；</w:t>
            </w:r>
          </w:p>
          <w:p w14:paraId="441D67C3"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3．拥有自主知识产权或掌握核心技术，有意向来</w:t>
            </w:r>
            <w:proofErr w:type="gramStart"/>
            <w:r w:rsidRPr="00235DE6">
              <w:rPr>
                <w:rFonts w:ascii="微软雅黑" w:eastAsia="微软雅黑" w:hAnsi="微软雅黑" w:cs="宋体" w:hint="eastAsia"/>
                <w:color w:val="000000"/>
                <w:kern w:val="0"/>
                <w:szCs w:val="21"/>
              </w:rPr>
              <w:t>渝</w:t>
            </w:r>
            <w:proofErr w:type="gramEnd"/>
            <w:r w:rsidRPr="00235DE6">
              <w:rPr>
                <w:rFonts w:ascii="微软雅黑" w:eastAsia="微软雅黑" w:hAnsi="微软雅黑" w:cs="宋体" w:hint="eastAsia"/>
                <w:color w:val="000000"/>
                <w:kern w:val="0"/>
                <w:szCs w:val="21"/>
              </w:rPr>
              <w:t>孵化或转化的技术创新人才（团队）。</w:t>
            </w:r>
          </w:p>
          <w:p w14:paraId="37227BCE"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w:t>
            </w:r>
            <w:r w:rsidRPr="00235DE6">
              <w:rPr>
                <w:rFonts w:ascii="微软雅黑" w:eastAsia="微软雅黑" w:hAnsi="微软雅黑" w:cs="宋体" w:hint="eastAsia"/>
                <w:b/>
                <w:bCs/>
                <w:color w:val="000000"/>
                <w:kern w:val="0"/>
                <w:szCs w:val="21"/>
              </w:rPr>
              <w:t>三、引进方式</w:t>
            </w:r>
          </w:p>
          <w:p w14:paraId="40F4711E"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（一）区县（自治县）、高新技术开发区、经济开发区等，按照功能定位，合理规划产业布局，有针对性地引进高端研发机构来渝建设研发分支机构。</w:t>
            </w:r>
          </w:p>
          <w:p w14:paraId="7CA45939"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（二）在渝高校、科研院所、企业整合优质资源，引进高端研发机构合作共建新型高端研发平台。</w:t>
            </w:r>
          </w:p>
          <w:p w14:paraId="47FFCAEE"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（三）依托我市现有具备较强技术创新能力的研发平台，引进高层次创新人才（团队）及其技术成果，打造新型高端研发平台。</w:t>
            </w:r>
          </w:p>
          <w:p w14:paraId="3B18E39A"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（四）鼓励已在我市布局的大型企业迁入研发总部或在渝设立研发分中心。</w:t>
            </w:r>
          </w:p>
          <w:p w14:paraId="44E06E4D"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w:t>
            </w:r>
            <w:r w:rsidRPr="00235DE6">
              <w:rPr>
                <w:rFonts w:ascii="微软雅黑" w:eastAsia="微软雅黑" w:hAnsi="微软雅黑" w:cs="宋体" w:hint="eastAsia"/>
                <w:b/>
                <w:bCs/>
                <w:color w:val="000000"/>
                <w:kern w:val="0"/>
                <w:szCs w:val="21"/>
              </w:rPr>
              <w:t>四、政策措施</w:t>
            </w:r>
          </w:p>
          <w:p w14:paraId="70F45444"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（一）市级部门支持。市科委通过科技平台计划、科技研发计划和人才专项计划，对引进培育的新型高端研发平台给予支持；对市场潜力大、创新成果突出的，引导科技</w:t>
            </w:r>
            <w:proofErr w:type="gramStart"/>
            <w:r w:rsidRPr="00235DE6">
              <w:rPr>
                <w:rFonts w:ascii="微软雅黑" w:eastAsia="微软雅黑" w:hAnsi="微软雅黑" w:cs="宋体" w:hint="eastAsia"/>
                <w:color w:val="000000"/>
                <w:kern w:val="0"/>
                <w:szCs w:val="21"/>
              </w:rPr>
              <w:t>创投资</w:t>
            </w:r>
            <w:proofErr w:type="gramEnd"/>
            <w:r w:rsidRPr="00235DE6">
              <w:rPr>
                <w:rFonts w:ascii="微软雅黑" w:eastAsia="微软雅黑" w:hAnsi="微软雅黑" w:cs="宋体" w:hint="eastAsia"/>
                <w:color w:val="000000"/>
                <w:kern w:val="0"/>
                <w:szCs w:val="21"/>
              </w:rPr>
              <w:t>本实施股权投资。市发展改革委、市经济信息委、市教委、市农委、市外经贸委、市环保局、市卫生计生委等市政府有关部门，根据自身实际情况和资金渠道，采取项目资助、仪器设备购置补贴、成果转化奖励、政府购买服务等方式予以支持。</w:t>
            </w:r>
          </w:p>
          <w:p w14:paraId="68519BCD"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（二）落实税收政策。新型高端研发平台购进并专门用于研发活动的仪器、设备，单位价值不超过100万元的，允许一次性计入当期成本费用在计算应纳税所得额</w:t>
            </w:r>
            <w:r w:rsidRPr="00235DE6">
              <w:rPr>
                <w:rFonts w:ascii="微软雅黑" w:eastAsia="微软雅黑" w:hAnsi="微软雅黑" w:cs="宋体" w:hint="eastAsia"/>
                <w:color w:val="000000"/>
                <w:kern w:val="0"/>
                <w:szCs w:val="21"/>
              </w:rPr>
              <w:lastRenderedPageBreak/>
              <w:t>时扣除，不再分年度计算折旧；单位价值超过100万元的，可缩短折旧年限或采取加速折旧的方法，最低折旧年限不得低于企业所得税法规定折旧年限的60%，或选择采取双倍余额递减法或年数总和法进行加速折旧。进口科研仪器设备符合规定的，免征关税和进口环节增值税。同时，符合有关规定的，可享受研发费用加计扣除政策。</w:t>
            </w:r>
          </w:p>
          <w:p w14:paraId="1DD30548"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（三）落实人才资助政策。符合《重庆市引进高层次人才若干优惠政策规定》（</w:t>
            </w:r>
            <w:proofErr w:type="gramStart"/>
            <w:r w:rsidRPr="00235DE6">
              <w:rPr>
                <w:rFonts w:ascii="微软雅黑" w:eastAsia="微软雅黑" w:hAnsi="微软雅黑" w:cs="宋体" w:hint="eastAsia"/>
                <w:color w:val="000000"/>
                <w:kern w:val="0"/>
                <w:szCs w:val="21"/>
              </w:rPr>
              <w:t>渝府发</w:t>
            </w:r>
            <w:proofErr w:type="gramEnd"/>
            <w:r w:rsidRPr="00235DE6">
              <w:rPr>
                <w:rFonts w:ascii="微软雅黑" w:eastAsia="微软雅黑" w:hAnsi="微软雅黑" w:cs="宋体" w:hint="eastAsia"/>
                <w:color w:val="000000"/>
                <w:kern w:val="0"/>
                <w:szCs w:val="21"/>
              </w:rPr>
              <w:t>〔2009〕58号）以及市政府有关部门人才引进计划要求的，及时兑现优惠政策。优先支持引进的高端人才（团队）申报国家人才计划、市级人才计划。</w:t>
            </w:r>
          </w:p>
          <w:p w14:paraId="437E4DA8"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四）区县（园区）政策支持。新型高端研发平台落地区县（自治县）和园区应提供建设用地，按照《重庆市科技创新促进条例》、《重庆市城市建设配套费征收管理办法》（重庆市人民政府令第253号）规定，对有关费用予以减免，并在水电气等重要资源配置上予以优先保障。做好引进高层次创新人才的配偶、子女就业、就学等服务保障工作。有条件的区县（自治县）和园区引导政府产业基金支持引进培育高端研发资源。</w:t>
            </w:r>
          </w:p>
          <w:p w14:paraId="5F761034"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w:t>
            </w:r>
            <w:r w:rsidRPr="00235DE6">
              <w:rPr>
                <w:rFonts w:ascii="微软雅黑" w:eastAsia="微软雅黑" w:hAnsi="微软雅黑" w:cs="宋体" w:hint="eastAsia"/>
                <w:b/>
                <w:bCs/>
                <w:color w:val="000000"/>
                <w:kern w:val="0"/>
                <w:szCs w:val="21"/>
              </w:rPr>
              <w:t>五、保障措施</w:t>
            </w:r>
          </w:p>
          <w:p w14:paraId="4F58837D"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一）加强组织领导。充分发挥重庆市创新驱动发展战略联席会议制度作用，由市科委牵头建立“统一领导、部门协同、区县（园区）联动”的高端研发资源引进工作推进机制，负责引进培育高端研发资源工作的重大决策、战略规划、考核督查和指导协调。</w:t>
            </w:r>
          </w:p>
          <w:p w14:paraId="11B94222"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二）加强协同联动。各区县（自治县）人民政府、市政府有关部门和有关单位要高度重视高端研发资源引进工作，加强协调配合，形成工作合力，按照职能分工，主动研究、制定有关配套政策或提出政策措施建议。精简工商、税务、建设用地、出入境手续办理等办事流程，提供便利服务、强化服务保障，共同推进新型高端研发平</w:t>
            </w:r>
            <w:r w:rsidRPr="00235DE6">
              <w:rPr>
                <w:rFonts w:ascii="微软雅黑" w:eastAsia="微软雅黑" w:hAnsi="微软雅黑" w:cs="宋体" w:hint="eastAsia"/>
                <w:color w:val="000000"/>
                <w:kern w:val="0"/>
                <w:szCs w:val="21"/>
              </w:rPr>
              <w:lastRenderedPageBreak/>
              <w:t>台培育工作。高校、科研院所、企业要主动对接拟引进的高端研发资源，开展实质性合作，完善市场化的组建机制和运行机制，</w:t>
            </w:r>
            <w:proofErr w:type="gramStart"/>
            <w:r w:rsidRPr="00235DE6">
              <w:rPr>
                <w:rFonts w:ascii="微软雅黑" w:eastAsia="微软雅黑" w:hAnsi="微软雅黑" w:cs="宋体" w:hint="eastAsia"/>
                <w:color w:val="000000"/>
                <w:kern w:val="0"/>
                <w:szCs w:val="21"/>
              </w:rPr>
              <w:t>搭建新型</w:t>
            </w:r>
            <w:proofErr w:type="gramEnd"/>
            <w:r w:rsidRPr="00235DE6">
              <w:rPr>
                <w:rFonts w:ascii="微软雅黑" w:eastAsia="微软雅黑" w:hAnsi="微软雅黑" w:cs="宋体" w:hint="eastAsia"/>
                <w:color w:val="000000"/>
                <w:kern w:val="0"/>
                <w:szCs w:val="21"/>
              </w:rPr>
              <w:t>高端研发平台。</w:t>
            </w:r>
          </w:p>
          <w:p w14:paraId="0B2ABF2A"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（三）加强分工合作。市科委牵头负责新型高端研发平台培育工作，集成项目、资金资源，推动新型高端研发平台建设。市经济信息</w:t>
            </w:r>
            <w:proofErr w:type="gramStart"/>
            <w:r w:rsidRPr="00235DE6">
              <w:rPr>
                <w:rFonts w:ascii="微软雅黑" w:eastAsia="微软雅黑" w:hAnsi="微软雅黑" w:cs="宋体" w:hint="eastAsia"/>
                <w:color w:val="000000"/>
                <w:kern w:val="0"/>
                <w:szCs w:val="21"/>
              </w:rPr>
              <w:t>委加强</w:t>
            </w:r>
            <w:proofErr w:type="gramEnd"/>
            <w:r w:rsidRPr="00235DE6">
              <w:rPr>
                <w:rFonts w:ascii="微软雅黑" w:eastAsia="微软雅黑" w:hAnsi="微软雅黑" w:cs="宋体" w:hint="eastAsia"/>
                <w:color w:val="000000"/>
                <w:kern w:val="0"/>
                <w:szCs w:val="21"/>
              </w:rPr>
              <w:t>在渝大型企业研发总部或研发分中心引进工作，以及落实产业技术创新方面的政策支持。市外经贸委在引进外资企业时，注重同步引进其研发机构。市教委、市卫生计生委、市环保局、市农委等部门，抓好有关领域高水平研发平台培育工作；区县（自治县）和园区要根据产业发展需求，积极引进高端研发资源，推动新型高端研发平台顺利组建并尽快发挥作用。</w:t>
            </w:r>
          </w:p>
          <w:p w14:paraId="01F45334" w14:textId="77777777" w:rsidR="00235DE6" w:rsidRPr="00235DE6" w:rsidRDefault="00235DE6" w:rsidP="00235DE6">
            <w:pPr>
              <w:widowControl/>
              <w:spacing w:line="357" w:lineRule="atLeast"/>
              <w:jc w:val="left"/>
              <w:rPr>
                <w:rFonts w:ascii="微软雅黑" w:eastAsia="微软雅黑" w:hAnsi="微软雅黑" w:cs="宋体" w:hint="eastAsia"/>
                <w:color w:val="000000"/>
                <w:kern w:val="0"/>
                <w:szCs w:val="21"/>
              </w:rPr>
            </w:pPr>
            <w:r w:rsidRPr="00235DE6">
              <w:rPr>
                <w:rFonts w:ascii="微软雅黑" w:eastAsia="微软雅黑" w:hAnsi="微软雅黑" w:cs="宋体" w:hint="eastAsia"/>
                <w:color w:val="000000"/>
                <w:kern w:val="0"/>
                <w:szCs w:val="21"/>
              </w:rPr>
              <w:t xml:space="preserve">　　（四）加强宣传引导。综合利用多种宣传渠道，大力宣传我市引进高端研发资源的重要举措和政策措施，动员在渝高校、科研院所、企业根据自身需求主动对接高端研发资源、建设新型高端研发平台，及时报道成功案例和实施效果，营造建好、用好新型高端研发平台的良好氛围。</w:t>
            </w:r>
          </w:p>
        </w:tc>
      </w:tr>
    </w:tbl>
    <w:p w14:paraId="088207AB" w14:textId="77777777" w:rsidR="00FE0CFA" w:rsidRPr="00235DE6" w:rsidRDefault="00FE0CFA">
      <w:bookmarkStart w:id="0" w:name="_GoBack"/>
      <w:bookmarkEnd w:id="0"/>
    </w:p>
    <w:sectPr w:rsidR="00FE0CFA" w:rsidRPr="00235D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B73B0" w14:textId="77777777" w:rsidR="0027592B" w:rsidRDefault="0027592B" w:rsidP="00235DE6">
      <w:r>
        <w:separator/>
      </w:r>
    </w:p>
  </w:endnote>
  <w:endnote w:type="continuationSeparator" w:id="0">
    <w:p w14:paraId="082C0ED6" w14:textId="77777777" w:rsidR="0027592B" w:rsidRDefault="0027592B" w:rsidP="0023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5537E" w14:textId="77777777" w:rsidR="0027592B" w:rsidRDefault="0027592B" w:rsidP="00235DE6">
      <w:r>
        <w:separator/>
      </w:r>
    </w:p>
  </w:footnote>
  <w:footnote w:type="continuationSeparator" w:id="0">
    <w:p w14:paraId="31B103B9" w14:textId="77777777" w:rsidR="0027592B" w:rsidRDefault="0027592B" w:rsidP="00235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54"/>
    <w:rsid w:val="00235DE6"/>
    <w:rsid w:val="0027592B"/>
    <w:rsid w:val="006B0C54"/>
    <w:rsid w:val="00FE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771395-BB18-4B5C-9917-CF00883B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D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5DE6"/>
    <w:rPr>
      <w:sz w:val="18"/>
      <w:szCs w:val="18"/>
    </w:rPr>
  </w:style>
  <w:style w:type="paragraph" w:styleId="a5">
    <w:name w:val="footer"/>
    <w:basedOn w:val="a"/>
    <w:link w:val="a6"/>
    <w:uiPriority w:val="99"/>
    <w:unhideWhenUsed/>
    <w:rsid w:val="00235DE6"/>
    <w:pPr>
      <w:tabs>
        <w:tab w:val="center" w:pos="4153"/>
        <w:tab w:val="right" w:pos="8306"/>
      </w:tabs>
      <w:snapToGrid w:val="0"/>
      <w:jc w:val="left"/>
    </w:pPr>
    <w:rPr>
      <w:sz w:val="18"/>
      <w:szCs w:val="18"/>
    </w:rPr>
  </w:style>
  <w:style w:type="character" w:customStyle="1" w:styleId="a6">
    <w:name w:val="页脚 字符"/>
    <w:basedOn w:val="a0"/>
    <w:link w:val="a5"/>
    <w:uiPriority w:val="99"/>
    <w:rsid w:val="00235D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23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2018-12-29T03:22:00Z</dcterms:created>
  <dcterms:modified xsi:type="dcterms:W3CDTF">2018-12-29T03:22:00Z</dcterms:modified>
</cp:coreProperties>
</file>