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60" w:rsidRPr="00335A60" w:rsidRDefault="00335A60" w:rsidP="00335A60">
      <w:pPr>
        <w:widowControl/>
        <w:shd w:val="clear" w:color="auto" w:fill="FFFFFF"/>
        <w:spacing w:line="750" w:lineRule="atLeast"/>
        <w:jc w:val="center"/>
        <w:outlineLvl w:val="1"/>
        <w:rPr>
          <w:rFonts w:ascii="微软雅黑" w:eastAsia="微软雅黑" w:hAnsi="微软雅黑" w:cs="宋体"/>
          <w:color w:val="1F6B1F"/>
          <w:kern w:val="36"/>
          <w:sz w:val="36"/>
          <w:szCs w:val="36"/>
        </w:rPr>
      </w:pPr>
      <w:r w:rsidRPr="00335A60">
        <w:rPr>
          <w:rFonts w:ascii="微软雅黑" w:eastAsia="微软雅黑" w:hAnsi="微软雅黑" w:cs="宋体" w:hint="eastAsia"/>
          <w:color w:val="1F6B1F"/>
          <w:kern w:val="36"/>
          <w:sz w:val="36"/>
          <w:szCs w:val="36"/>
        </w:rPr>
        <w:t>关于进一步明确促进工业经济转型升级若干政策(修订)</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为认真贯彻落实省、市关于促进工业经济发展相关文件精神，进一步促进我县工业经济转型升级、加快发展，整合原相关政策，结合实际，修改如下。</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第一条鼓励企业做大做强</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建立工业企业发展绩效综合评价体系。根据绩效综合评价，将规模以上工业企业按照分数高低分为A、B、C三类，规下企业分为甲、乙、丙三类，在企业培育和资源要素配置等方面实行差别化扶持政策。（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开展工业企业综合实力20强、综合效益10强评选活动。根据工业企业发展绩效综合评价体系认定的A类企业，评选综合实力20强企业、综合效益10强企业，分别给予企业法人代表20万元－60万元奖励。（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3、支持企业规模晋级。对年主营业务收入首次达到5亿元、10亿元、20亿元、30亿元的工业企业，分别奖励企业法人代表5万元、10万元、20万元、50万元。（责任单位：县经信委）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对进入省综合实力100强、工业企业100强的企业，奖励20万元。对获得省制造业单项冠军示范企业、培育企业，分别奖励10万元、5万元。（责任单位：县经信委）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对我县重点鼓励培育的工业企业，上一年度应税销售收入5000万元（含）以上，符合下列条件之一的，给予销售收入上台阶奖励。①当年实际应税销售收入5000万元－1亿元，且增幅50%（含）以上的企业，奖励10万</w:t>
      </w:r>
      <w:r w:rsidRPr="00335A60">
        <w:rPr>
          <w:rFonts w:ascii="微软雅黑" w:eastAsia="微软雅黑" w:hAnsi="微软雅黑" w:cs="宋体" w:hint="eastAsia"/>
          <w:color w:val="333333"/>
          <w:kern w:val="0"/>
          <w:sz w:val="24"/>
          <w:szCs w:val="24"/>
        </w:rPr>
        <w:lastRenderedPageBreak/>
        <w:t>元；②当年实际应税销售收入1亿元（含）－5亿元，且增幅40%（含）以上的企业，奖励20万元；③当年实际应税销售收入5亿元（含）以上，且增幅30%（含）以上的企业，奖励30万元。（责任单位：县经信委）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对首次纳入规模以上的工业企业，奖励2万元，其中属于战略性新兴产业的奖励3万元。（责任单位：县经信委、县发改委）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充分发挥基金作用。积极运用“一母三子”基金中的重点产业投资基金（“一号基金”）、产业投资引导基金（“二号基金”）和产业扶持基金（“三号基金”），支持县内主导优势产业、各类企业和项目发展。产业扶持基金（“三号基金”）由受益财政出资。（责任单位：县开发区管委会、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5、支持企业上市挂牌。企业在场内市场、“新三板”上市挂牌的，分别奖励300万元、150万元。（责任单位：县金融办）</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建立融资奖励机制。对在场内市场首次公开发行上市，融资额在1-3亿元（含）、3-5亿元（含）、5-8亿元（含）和8亿元以上的，且募集资金70%以上用于我县项目的，分别奖励企业法人代表30万元、50万元、80万元和100万元；上市企业成功在股票市场和债券市场再融资，融资额在3-5亿元（含）、5亿元以上，且将募集资金70%以上用于我县项目的，分别奖励企业法人代表30万元和50万元；上市注册地未设在广德，但上市当年在我县年纳税超过5000万元（含），且将首轮募集资金70%以上用于我县项目的企业，奖励企业法人代表50万元；企业异地“买壳”、“借壳”上市后，将注册地迁回广德且将首轮募集资金70%以上用于我县项目的，奖励企业法人代表50万元；成功在“新三板”、安徽省股权托管交易中心等区域性场外市场实现</w:t>
      </w:r>
      <w:r w:rsidRPr="00335A60">
        <w:rPr>
          <w:rFonts w:ascii="微软雅黑" w:eastAsia="微软雅黑" w:hAnsi="微软雅黑" w:cs="宋体" w:hint="eastAsia"/>
          <w:color w:val="333333"/>
          <w:kern w:val="0"/>
          <w:sz w:val="24"/>
          <w:szCs w:val="24"/>
        </w:rPr>
        <w:lastRenderedPageBreak/>
        <w:t>（股权、债权）融资的，按照首次融资额的1%给予奖励，最高不超过100万元。（责任单位：县金融办、县财政局）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6、扶持上市后备企业规范改制。在规范改制过程中涉及的相关税费〔企业在改制、重组、变更设立股份有限公司过程中，经审计评估后净资产增值部分应补缴的企业所得税，因上市挂牌规范要求而对以前年度补缴的其他税款及办理土地房产等资产转让过户时的相关税费（土地出让金、契税、增值税除外）；企业进行增资扩股、股权转让或进行资产重组过程中所发生的个人所得税〕，待企业改制工作全部完成后，以地方所得部分扣除相关征管费用为标准，由县财政实行财政体制单项结算予以扶持。（责任单位：县金融办、县财政局、县国税局、县地税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对列入拟挂牌上市企业，县国有融资担保公司优先给予融资担保支持，并实行担保优惠费率。（责任单位：县金融办）</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企业上市前机构股权融资额2000万元（含）以上的，奖励企业法人代表10万元。（责任单位：县金融办）</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7、鼓励企业嫁接重组。鼓励企业通过兼并、合并、转让等方式取得存量土地、房屋资产，对符合我县规划要求和产业发展导向的企业间嫁接重组，其在不动产登记过程中发生的费用及税收地方所得部分全额扶持。各相关部门对嫁接重组后企业办理各项证件给予绿色通道。世界500强、国内500强和国内外行业前20强企业实施资产重组的，经县委、县政府批准，可实行“一事一议”相关政策。（责任单位：县开发区管委会、新杭经济开发区、县开发区西区、县开发区北区）</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第二条鼓励企业集约增效</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8、新引进固定资产投资300万美元或3000万元人民币（集群式产业的单个项目固定资产投资额按集群组团式计）以上的非矿产资源开发类项目和非县政府控制布（局）点类项目的工业项目，自约定建设期满、达到协议约定投资要求的，其缴纳的增值税、企业所得税的地方留成部分，实行“前2年全额奖励、后3年减半奖励”。奖励资金由受益财政承担。（责任单位：县地税局、县财政局、县开发区管委会、各乡镇人民政府）</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b/>
          <w:bCs/>
          <w:color w:val="333333"/>
          <w:kern w:val="0"/>
          <w:sz w:val="24"/>
          <w:szCs w:val="24"/>
        </w:rPr>
        <w:t>9、</w:t>
      </w:r>
      <w:r w:rsidRPr="00335A60">
        <w:rPr>
          <w:rFonts w:ascii="微软雅黑" w:eastAsia="微软雅黑" w:hAnsi="微软雅黑" w:cs="宋体" w:hint="eastAsia"/>
          <w:color w:val="333333"/>
          <w:kern w:val="0"/>
          <w:sz w:val="24"/>
          <w:szCs w:val="24"/>
        </w:rPr>
        <w:t>对固定资产投资5000万美元或5亿元人民币以上的招商引资项目，经县委、县政府研究，在资金、配套服务等方面给予“一企一策”，实行“一事一议”。（责任单位：县招商局）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b/>
          <w:bCs/>
          <w:color w:val="333333"/>
          <w:kern w:val="0"/>
          <w:sz w:val="24"/>
          <w:szCs w:val="24"/>
        </w:rPr>
        <w:t>10、</w:t>
      </w:r>
      <w:r w:rsidRPr="00335A60">
        <w:rPr>
          <w:rFonts w:ascii="微软雅黑" w:eastAsia="微软雅黑" w:hAnsi="微软雅黑" w:cs="宋体" w:hint="eastAsia"/>
          <w:color w:val="333333"/>
          <w:kern w:val="0"/>
          <w:sz w:val="24"/>
          <w:szCs w:val="24"/>
        </w:rPr>
        <w:t>实行城镇土地使用税奖励政策。新签约企业自供地之日起两年内按所缴纳城镇土地使用税100%奖励。已投产企业按照年亩均财税贡献（剔除土地使用税）给予奖励，年亩均贡献3（含）-5万元，给予年缴纳城镇土地使用税40%奖励；年亩均贡献5（含）-8万元，给予年缴纳城镇土地使用税60%奖励；年亩均贡献8（含）-10万元，给予年缴纳城镇土地使用税80%奖励；10万元（含）以上的，按当年应缴纳城镇土地使用税100%奖励。奖励资金由受益财政承担。（责任单位：县地税局、县财政局、县开发区管委会、各乡镇人民政府）</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b/>
          <w:bCs/>
          <w:color w:val="333333"/>
          <w:kern w:val="0"/>
          <w:sz w:val="24"/>
          <w:szCs w:val="24"/>
        </w:rPr>
        <w:t>11、</w:t>
      </w:r>
      <w:r w:rsidRPr="00335A60">
        <w:rPr>
          <w:rFonts w:ascii="微软雅黑" w:eastAsia="微软雅黑" w:hAnsi="微软雅黑" w:cs="宋体" w:hint="eastAsia"/>
          <w:color w:val="333333"/>
          <w:kern w:val="0"/>
          <w:sz w:val="24"/>
          <w:szCs w:val="24"/>
        </w:rPr>
        <w:t>鼓励企业用地集约增效。对符合规划条件且容积率和建筑密度达到标准的，建设二层以上标准厂房且单体单层建筑面积在2000平方米及以上的，企业投产后，对第三层按每平方米100元奖励，第四层及以上部分按每平方米200元奖励。（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12、对新引进在“两区两园”租赁生产和办公用房的企业，符合条件的，一定期限内给予租赁费适当补贴。（责任单位：县开发区管委会、新杭经济开发区、县开发区北区、县开发区西区）</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第三条  鼓励企业技术升级</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13、支持企业实施技术改造。对符合产业政策、且经过备案的工业企业（高能耗、资源型企业除外），备案期限内，其新增设备200万元以上的（零增地）工业技术改造升级项目，给予新增设备投资额5%补助，其中新增设备为我县本地工业产品的，给予新增设备投资额7%补助。鼓励企业“机器换人”，对新购工业机械人或机械手（≥4个自由度）、3D打印机、全自动化生产线先进设备的，给予设备投资额10%补助。单个企业补助不超过200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14、支持制造业中小企业开展设备融资租赁业务。采取补贴等方式，对融资期限3年期以上业务，按照融资规模5%的比例对融资租赁中小企业进行补贴，单个企业最高不超过人民币200万元。（责任单位：县经信委）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第四条  鼓励企业科技创新</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15、引导企业加大研发投入。对年销售收入500万元及以上企业、科技企业孵化器在孵企业、新型研发机构等购置用于研发的关键仪器设备（单台10万元及以上），且获省立项支持的，按其年度实际支出额不超过15%予以补助，单台仪器设备补助不超过200万元，单个企业补助不超过500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16、支持企业开展技术攻关。对承担省科技重大专项项目，按项目研发投入不超过20%予以补助，单个项目补助不超过500万元。对企业与高校院所共</w:t>
      </w:r>
      <w:r w:rsidRPr="00335A60">
        <w:rPr>
          <w:rFonts w:ascii="微软雅黑" w:eastAsia="微软雅黑" w:hAnsi="微软雅黑" w:cs="宋体" w:hint="eastAsia"/>
          <w:color w:val="333333"/>
          <w:kern w:val="0"/>
          <w:sz w:val="24"/>
          <w:szCs w:val="24"/>
        </w:rPr>
        <w:lastRenderedPageBreak/>
        <w:t>同开展科技项目研发，按实际支付技术研发经费的20%给予补助，单个企业补助不超过20万元。对租用安徽省仪器设备共享平台网仪器设备开展新产品、新技术、新工艺研发的单位，按租用仪器设备年度支出的20%给予补助，最高不超过30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17、支持高新技术企业发展。对认定为高新技术企业的，奖励20万元；对规模以下高新技术企业首次达到规模以上的，奖励10万元；对高新技术企业投保的产品研发责任保险、关键研发设备保险、产品质量保证保险、专利保险等险种，且获省立项支持的，按投保企业实际支出保费的30%给予补助。（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18、促进科技成果转化。对企业购买科技成果并实现产业化的，按其技术合同成交并实际到账额的10%予以补助，单项成果补助不超过10万元。（责任单位：县科技局）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19、支持科技企业孵化服务。对新备案的国家级、省级、市级科技企业孵化器或众创空间，分别奖励50万元、20万元、10万元；对国家级、省级科技企业孵化器或众创空间省给予奖励的，县先行奖补；对经市级以上科技部门认定并通过年度绩效考核的创业苗圃、大学生创业中心、创客空间等，对其导师服务、创新创业活动等直接费用给予30%的补助，最高不超过10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20、支持企业研发先进装备。对获得省首台（套）重大技术装备认定证书的工业企业，奖励10万元。（责任单位：县经信委）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21、对获得国家自然科学、技术发明、科技进步一、二、三等奖的第一完成单位，分别奖励200万元、100万元、50万元；对获得省自然科学、技术</w:t>
      </w:r>
      <w:r w:rsidRPr="00335A60">
        <w:rPr>
          <w:rFonts w:ascii="微软雅黑" w:eastAsia="微软雅黑" w:hAnsi="微软雅黑" w:cs="宋体" w:hint="eastAsia"/>
          <w:color w:val="333333"/>
          <w:kern w:val="0"/>
          <w:sz w:val="24"/>
          <w:szCs w:val="24"/>
        </w:rPr>
        <w:lastRenderedPageBreak/>
        <w:t>发明、科技进步一、二、三等奖的第一完成单位，分别奖励100万元、50万元、10万元。对获得宣城市科技进步奖的，给予等额配套奖励。对获得县科技进步一、二、三等奖的企业，分别给予10万元、5万元、3万元奖励。（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22、对获得国家、省、市创新创业大赛、工业设计大赛、工业机器人技术应用技能大赛等一、二、三等奖和优秀奖的，给予等额配套奖励。（责任单位：县科技局、县经信委）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第五条鼓励企业“两化”融合</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23、对获得国家级、省级、县级“两化融合”示范企业，分别奖励30万元、10万元、5万元；对获得国家级、省级“两化融合”贯标试点企业且及时开展贯标工作并通过认证的，分别奖励30万元、10万元。对新认定省信息消费体验中心、省信息消费创新产品的，分别奖励10万元、5万元。对列入县工业企业信息化试点项目并通过验收的，奖励10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第六条  鼓励企业引才引智</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24、促进技能型人才在我县工业企业就业。对就读宣城市职业（技工）院校或我县就读外地高等院校（含职业技工院校）毕业两年内选择我县工业企业就业，并签订1年以上劳动合同的技能型人才，每人奖励2000元。我县引进亟需紧缺专业（工种）高技能人才，符合条件的可享受安家补贴和薪酬补贴。（责任单位：县人社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25、鼓励企业开展高技能人才培养，按职工岗位技能提升培训后取得中级工、高级工、技师、高级技师国家职业资格证书的人数，分别给予人均1000</w:t>
      </w:r>
      <w:r w:rsidRPr="00335A60">
        <w:rPr>
          <w:rFonts w:ascii="微软雅黑" w:eastAsia="微软雅黑" w:hAnsi="微软雅黑" w:cs="宋体" w:hint="eastAsia"/>
          <w:color w:val="333333"/>
          <w:kern w:val="0"/>
          <w:sz w:val="24"/>
          <w:szCs w:val="24"/>
        </w:rPr>
        <w:lastRenderedPageBreak/>
        <w:t>元、2000元、3500元、5000元补贴。鼓励企业接受职业（技工）院校学生顶岗实习。鼓励符合条件的企业建立技能大师工作室，每个工作室给予5万元补助。（责任单位：县人社局）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26、鼓励企业引进高层次人才。对企业全职引进的全日制硕士研究生以上人才，符合规定条件的，按照人才类别享受工作津贴和购房补贴；对企业柔性引进的人才，给予企业单个项目不超过10万元补助。（责任单位：县人才办）</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27、对企业引进的高技能人才、高管人才、高科技人才，工作满1年、年薪30万元以上，并在我县缴纳个人所得税的，其缴纳的个人所得税地方财政所得部分予以全额奖励。符合条件的优先安排人才公寓入驻。奖励资金由受益财政承担。（责任单位：县人社局、县开发区管委会、各乡镇人民政府）</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28、支持高层次人才团队创新创业。对带项目、带资金、带技术的高层次人才团队来我县创新创业的，给予专项扶持，并择优推荐申报省市创新团队。（责任单位：县科技局、县人才办）</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第七条  鼓励企业绿色发展</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29、对获得国家级、省级绿色工厂的企业，分别奖励50万元、20万元；对获得国家级、省级绿色产品的企业，分别奖励20万元、10万元。在工业领域实施节能环保“五个一百”专项行动中，入围“五个一百”目录的企业，奖励5万元；经省级主管部门认定，被评价为优秀的企业，再给予奖励10万元。对获得省级、市级节水型企业的，分别奖励20万元、10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30、鼓励企业节能减排。对企业已经备案的节能技术改造项目（包括采用合同能源管理方式），竣工实施后年实际节能量达到500吨标准煤以上的，每吨标准煤奖励200元，单个企业年度奖励不超过100万元。（责任单位：县发改委、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第八条  鼓励发展开放型经济</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31、鼓励企业树立出口品牌、积极开拓国际市场；鼓励企业“走出去”参与“一带一路”沿岸建设；支持外商投资企业加快发展；支持开放型平台建设。（责任单位：县商务局）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32、鼓励企业开展军民合作，推进军民融合深度发展。大力推进军民融合产业升级、推进军民科技资源深度共享、推进“民参军”向深度拓展、推进军工经济与县域经济深度融合。（责任单位：县发改委、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第九条  强化质量品牌提升</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33、设立专利发展专项资金，用于各类专利创造、引进、运用、保护和专利相关的知识产权管理。设立质量品牌提升专项资金，以“政府购买服务”方式，遴选第三方质量管理咨询服务机构对规模以上工业企业推进质量品牌提升提供技术支撑。（责任单位：县科技局、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34、鼓励专利创造。对国际、国内发明专利（进入实审阶段），每件分别奖励2万元、0.27万元。国际PCT发明、国外发明专利授权后，每件奖励3万元（最多两个国家）。国内发明专利获得授权的企业和个人，分别每件奖励2万元和0.2万元，给予代理机构每件1500元奖励。实用新型专利授权后，每件奖励600元。企业每申报一项发明专利并进入实审的，奖励企业专利联络员150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对当年授权发明专利前3位（数量不低于3件）且年纳税额不低于20万元的企业，分别奖励5万元、3万元、1万元。（责任单位：县科技局）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35、促进企业知识产权管理规范化。对当年获国家、省、市、县知识产权示范企业的，分别奖励10万元、5万元、2万元、1万元；对国家、省、市知识产权行政主管部门评定的专利奖企业，分别奖励10万元、5万元、2万元；对当年通过国家知识产权管理规范（“贯标”）验收且年纳税额不低于20万元的企业，奖励2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36、促进重大专利技术引进实施与产业化。对当年获国家、省知识产权行政主管部门立项的专利产业化项目，分别奖励10万元、5万元；对企业从县外（含境外）购买引进发明专利并在我县投入应用的，单件专利补助2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37、鼓励知识产权权利人积极应对知识产权诉讼，维护知识产权权利人及其利害关系人的合法权益。专利维权资助标准按核定后维权费用（诉讼费、律师代理费）的20%给予补助，单项补助不超过10万元。同一申请人每个年度累计补助不超过20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38、对企业以专利权、商标权质押贷款方式融资额达到500万元及以上的，按贷款利息和专利评估费总额的50%给予补助，单项补助不超过20万元。（责任单位：县科技局、县市场监管局）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39、对获得省政府质量奖、市长质量奖、县长质量奖的企业，分别奖励30万元、20万元、10万元。（责任单位：县市场监管局）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40、对获得中国驰名商标和国家卓越绩效奖、省著名商标（省名牌产品、省卓越绩效奖、苏浙皖赣沪名牌产品50佳）、市知名商标（名牌产品）的企</w:t>
      </w:r>
      <w:r w:rsidRPr="00335A60">
        <w:rPr>
          <w:rFonts w:ascii="微软雅黑" w:eastAsia="微软雅黑" w:hAnsi="微软雅黑" w:cs="宋体" w:hint="eastAsia"/>
          <w:color w:val="333333"/>
          <w:kern w:val="0"/>
          <w:sz w:val="24"/>
          <w:szCs w:val="24"/>
        </w:rPr>
        <w:lastRenderedPageBreak/>
        <w:t>业，分别奖励30万元、10万元、2万元；对获得国家地理标志产品（商标）、省专业商标品牌基地商标的企业，奖励30万元。对新申请注册成功的商标，每件奖励1000元。（责任单位：县市场监管局）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41、对牵头制定国际标准、国家标准、行业标准（地方标准）的企业，分别奖励50万元、20万元、10万元；对参与制定上述标准的企业，分别奖励20万元、10万元、5万元。（责任单位：县经信委、县市场监管局）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42、对创建标准化示范AAAA、AAA、AA级企业，分别奖励10万元、5万元、3万元；对国家级、省级标准化示范区项目承担单位，分别奖励20万元、10万元；对采用国际标准和国外先进标准组织生产，并获“采用国际标准证书”的企业，每项奖励5万元。（责任单位：县市场监管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第十条  强化平台载体支撑</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43、对新认定的国家工程（重点）实验室、工程（技术）研究中心、国际联合实验室（研究中心），奖励300万元；对新认定的国家地方联合实验室（研究中心），奖励200万元；对前述机构在国家组织的运行评估中获优秀等次的，奖励100万元。对新认定的省工程（重点）实验室、工程（技术）研究中心，奖励20万元；对前述机构在省组织的运行评估中获优秀等次的，奖励10万元。（责任单位：县科技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企业建立院士工作站的，奖励50万元；对新建国家级、省级博士后工作站的，分别奖励20万元、10万元。对我县企业牵头组建新获认定的国家（试点）、省（试点）产业技术创新战略联盟的，分别奖励50万元、20万元。对企业联合高校院所建立产业协同创新中心的，奖励20万元。（责任单位：县科技局、县人社局）</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44、对新认定或新引进国家级、省级企业研发中心（企业技术中心、工业设计中心、行业技术中心、制造业创新中心、服务型制造示范企业、技术创新示范企业、消费品工业“三品”示范企业）或检测中心的，分别奖励50万元、20万元。对企业技术中心、工业设计中心等年度评价优秀的，奖励10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45、对新认定为省专精特新中小企业、省工业和信息化系统标准化示范企业、省创新管理示范企业、省成长型小微企业、省中小企业公共服务平台的，奖励10万元。对获得安徽省工业精品的，奖励10万元；对新认定为省级新产品的，奖励5万元。对获得省认定的智能工厂、数字化车间，分别奖励20万元、10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对新认定国家级、省级新型工业化产业示范基地（智慧园区、小微企业创业基地）的，分别奖励50万元、20万元。对新认定省级产业集群专业镇的，奖励30万元。（责任单位：县经信委）</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t>本政策原则上实行年度申报，逾期未申报不予补报，各项奖补政策在次年兑现。各责任单位根据工作需要，对相应条款制定具体实施意见或兑现办法。年度内发生重大安全事故、重大质量事故、严重环境违法行为，企业综合绩效评价为C类或丙类的企业，不享受该政策。对单个企业奖补资金总额累计不超过其当年对地方可支配财力贡献。项目单位对申报事项的真实性、合规性和资金使用负直接责任。咨询、设计、审计等中介机构对其编制的项目报告的真实性、公正性、独立性负责。对弄虚作假骗取奖补资金的，一经发现全部予以收回，并按照有关规定对责任单位、申报企业及相关责任人给予严肃处理。</w:t>
      </w:r>
    </w:p>
    <w:p w:rsidR="00335A60" w:rsidRPr="00335A60" w:rsidRDefault="00335A60" w:rsidP="00335A60">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335A60">
        <w:rPr>
          <w:rFonts w:ascii="微软雅黑" w:eastAsia="微软雅黑" w:hAnsi="微软雅黑" w:cs="宋体" w:hint="eastAsia"/>
          <w:color w:val="333333"/>
          <w:kern w:val="0"/>
          <w:sz w:val="24"/>
          <w:szCs w:val="24"/>
        </w:rPr>
        <w:lastRenderedPageBreak/>
        <w:t>本政策自2017年8月1日起实行，由相应责任单位负责解释。此前县委、县政府出台的有关奖励扶持政策与本政策规定不一致的，以本政策为准。</w:t>
      </w:r>
    </w:p>
    <w:p w:rsidR="00F508E7" w:rsidRPr="00335A60" w:rsidRDefault="00F508E7">
      <w:bookmarkStart w:id="0" w:name="_GoBack"/>
      <w:bookmarkEnd w:id="0"/>
    </w:p>
    <w:sectPr w:rsidR="00F508E7" w:rsidRPr="00335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EA"/>
    <w:rsid w:val="00335A60"/>
    <w:rsid w:val="00746FEA"/>
    <w:rsid w:val="00F5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4D810-2936-4E5F-98E1-91A2C878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5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93434">
      <w:bodyDiv w:val="1"/>
      <w:marLeft w:val="0"/>
      <w:marRight w:val="0"/>
      <w:marTop w:val="0"/>
      <w:marBottom w:val="0"/>
      <w:divBdr>
        <w:top w:val="none" w:sz="0" w:space="0" w:color="auto"/>
        <w:left w:val="none" w:sz="0" w:space="0" w:color="auto"/>
        <w:bottom w:val="none" w:sz="0" w:space="0" w:color="auto"/>
        <w:right w:val="none" w:sz="0" w:space="0" w:color="auto"/>
      </w:divBdr>
      <w:divsChild>
        <w:div w:id="909971197">
          <w:marLeft w:val="0"/>
          <w:marRight w:val="0"/>
          <w:marTop w:val="0"/>
          <w:marBottom w:val="150"/>
          <w:divBdr>
            <w:top w:val="none" w:sz="0" w:space="0" w:color="auto"/>
            <w:left w:val="none" w:sz="0" w:space="0" w:color="auto"/>
            <w:bottom w:val="none" w:sz="0" w:space="0" w:color="auto"/>
            <w:right w:val="none" w:sz="0" w:space="0" w:color="auto"/>
          </w:divBdr>
          <w:divsChild>
            <w:div w:id="848107119">
              <w:marLeft w:val="0"/>
              <w:marRight w:val="0"/>
              <w:marTop w:val="0"/>
              <w:marBottom w:val="225"/>
              <w:divBdr>
                <w:top w:val="none" w:sz="0" w:space="0" w:color="auto"/>
                <w:left w:val="none" w:sz="0" w:space="0" w:color="auto"/>
                <w:bottom w:val="none" w:sz="0" w:space="0" w:color="auto"/>
                <w:right w:val="none" w:sz="0" w:space="0" w:color="auto"/>
              </w:divBdr>
              <w:divsChild>
                <w:div w:id="1148322647">
                  <w:marLeft w:val="0"/>
                  <w:marRight w:val="0"/>
                  <w:marTop w:val="0"/>
                  <w:marBottom w:val="0"/>
                  <w:divBdr>
                    <w:top w:val="none" w:sz="0" w:space="0" w:color="auto"/>
                    <w:left w:val="none" w:sz="0" w:space="0" w:color="auto"/>
                    <w:bottom w:val="none" w:sz="0" w:space="0" w:color="auto"/>
                    <w:right w:val="none" w:sz="0" w:space="0" w:color="auto"/>
                  </w:divBdr>
                  <w:divsChild>
                    <w:div w:id="601844862">
                      <w:marLeft w:val="150"/>
                      <w:marRight w:val="0"/>
                      <w:marTop w:val="0"/>
                      <w:marBottom w:val="0"/>
                      <w:divBdr>
                        <w:top w:val="none" w:sz="0" w:space="0" w:color="auto"/>
                        <w:left w:val="none" w:sz="0" w:space="0" w:color="auto"/>
                        <w:bottom w:val="none" w:sz="0" w:space="0" w:color="auto"/>
                        <w:right w:val="dashed" w:sz="6" w:space="11" w:color="DDDDDD"/>
                      </w:divBdr>
                      <w:divsChild>
                        <w:div w:id="12273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2018-05-18T05:59:00Z</dcterms:created>
  <dcterms:modified xsi:type="dcterms:W3CDTF">2018-05-18T05:59:00Z</dcterms:modified>
</cp:coreProperties>
</file>