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53" w:rsidRDefault="00300653" w:rsidP="00300653">
      <w:pPr>
        <w:ind w:firstLineChars="0" w:firstLine="0"/>
        <w:jc w:val="center"/>
        <w:rPr>
          <w:rStyle w:val="1Char"/>
        </w:rPr>
      </w:pPr>
      <w:r>
        <w:rPr>
          <w:rStyle w:val="1Char"/>
          <w:rFonts w:hint="eastAsia"/>
        </w:rPr>
        <w:t>津南区扶持楼宇经济发展暂行规定</w:t>
      </w:r>
    </w:p>
    <w:p w:rsidR="00300653" w:rsidRDefault="00300653" w:rsidP="00300653">
      <w:pPr>
        <w:ind w:firstLine="640"/>
        <w:rPr>
          <w:rFonts w:ascii="仿宋_GB2312" w:eastAsia="仿宋_GB2312" w:hAnsi="宋体"/>
          <w:szCs w:val="32"/>
        </w:rPr>
      </w:pPr>
    </w:p>
    <w:p w:rsidR="00300653" w:rsidRDefault="00300653" w:rsidP="00300653">
      <w:pPr>
        <w:ind w:firstLine="640"/>
      </w:pPr>
      <w:r>
        <w:rPr>
          <w:rFonts w:hint="eastAsia"/>
        </w:rPr>
        <w:t>为促进我区楼宇经济健康快速发展，增强我区经济实力和竞争力，结合实际，制定本规定。</w:t>
      </w:r>
    </w:p>
    <w:p w:rsidR="00300653" w:rsidRDefault="00300653" w:rsidP="00300653">
      <w:pPr>
        <w:pStyle w:val="2"/>
        <w:ind w:firstLine="640"/>
      </w:pPr>
      <w:r>
        <w:rPr>
          <w:rFonts w:hint="eastAsia"/>
        </w:rPr>
        <w:t>一、适用范围</w:t>
      </w:r>
    </w:p>
    <w:p w:rsidR="00300653" w:rsidRDefault="00300653" w:rsidP="00300653">
      <w:pPr>
        <w:ind w:firstLine="640"/>
      </w:pPr>
      <w:r>
        <w:rPr>
          <w:rFonts w:hint="eastAsia"/>
        </w:rPr>
        <w:t>（一）单体总建筑面积在</w:t>
      </w:r>
      <w:r>
        <w:t>5000</w:t>
      </w:r>
      <w:r>
        <w:rPr>
          <w:rFonts w:hint="eastAsia"/>
        </w:rPr>
        <w:t>平方米以上且商务建筑面积在</w:t>
      </w:r>
      <w:r>
        <w:t>3000</w:t>
      </w:r>
      <w:r>
        <w:rPr>
          <w:rFonts w:hint="eastAsia"/>
        </w:rPr>
        <w:t>平方米以上的商务楼宇。</w:t>
      </w:r>
    </w:p>
    <w:p w:rsidR="00300653" w:rsidRDefault="00300653" w:rsidP="00300653">
      <w:pPr>
        <w:ind w:firstLine="640"/>
      </w:pPr>
      <w:r>
        <w:rPr>
          <w:rFonts w:hint="eastAsia"/>
        </w:rPr>
        <w:t>（二）总建筑面积在</w:t>
      </w:r>
      <w:r>
        <w:t>10000</w:t>
      </w:r>
      <w:r>
        <w:rPr>
          <w:rFonts w:hint="eastAsia"/>
        </w:rPr>
        <w:t>平方米以上的商务楼宇群。</w:t>
      </w:r>
    </w:p>
    <w:p w:rsidR="00300653" w:rsidRDefault="00300653" w:rsidP="00300653">
      <w:pPr>
        <w:ind w:firstLine="640"/>
      </w:pPr>
      <w:r>
        <w:rPr>
          <w:rFonts w:hint="eastAsia"/>
        </w:rPr>
        <w:t>（三）利用旧办公用房、厂房改造的，建筑面积在</w:t>
      </w:r>
      <w:r>
        <w:t>1000</w:t>
      </w:r>
      <w:r>
        <w:rPr>
          <w:rFonts w:hint="eastAsia"/>
        </w:rPr>
        <w:t>平方米以上的临时性楼宇经济发展载体。</w:t>
      </w:r>
    </w:p>
    <w:p w:rsidR="00300653" w:rsidRDefault="00300653" w:rsidP="00300653">
      <w:pPr>
        <w:ind w:firstLine="640"/>
        <w:rPr>
          <w:rFonts w:ascii="黑体" w:eastAsia="黑体" w:hAnsi="宋体" w:cs="宋体"/>
          <w:szCs w:val="32"/>
        </w:rPr>
      </w:pPr>
      <w:r>
        <w:rPr>
          <w:rStyle w:val="2Char"/>
          <w:rFonts w:hint="eastAsia"/>
        </w:rPr>
        <w:t>二、扶持对象</w:t>
      </w:r>
      <w:r>
        <w:rPr>
          <w:rFonts w:ascii="黑体" w:eastAsia="黑体" w:hAnsi="宋体" w:cs="宋体" w:hint="eastAsia"/>
          <w:szCs w:val="32"/>
        </w:rPr>
        <w:t xml:space="preserve">　</w:t>
      </w:r>
    </w:p>
    <w:p w:rsidR="00300653" w:rsidRDefault="00300653" w:rsidP="00300653">
      <w:pPr>
        <w:ind w:firstLine="640"/>
      </w:pPr>
      <w:r>
        <w:rPr>
          <w:rFonts w:hint="eastAsia"/>
        </w:rPr>
        <w:t>（一）在商务楼宇（临时性楼宇经济发展载体）登记注册的、年纳税额在</w:t>
      </w:r>
      <w:r>
        <w:t>1</w:t>
      </w:r>
      <w:r>
        <w:rPr>
          <w:rFonts w:hint="eastAsia"/>
        </w:rPr>
        <w:t>万元以上（含</w:t>
      </w:r>
      <w:r>
        <w:t>1</w:t>
      </w:r>
      <w:r>
        <w:rPr>
          <w:rFonts w:hint="eastAsia"/>
        </w:rPr>
        <w:t>万元）的企业（占用本区土地资源，在商务楼宇内注册的企业除外）。</w:t>
      </w:r>
    </w:p>
    <w:p w:rsidR="00300653" w:rsidRDefault="00300653" w:rsidP="00300653">
      <w:pPr>
        <w:ind w:firstLine="640"/>
      </w:pPr>
      <w:r>
        <w:rPr>
          <w:rFonts w:hint="eastAsia"/>
        </w:rPr>
        <w:t>（二）楼宇经济主管部门（各镇人民政府、长青办事处、开发区管委会、国家农业科技园区管委会，下同）。</w:t>
      </w:r>
    </w:p>
    <w:p w:rsidR="00300653" w:rsidRDefault="00300653" w:rsidP="00300653">
      <w:pPr>
        <w:ind w:firstLine="640"/>
      </w:pPr>
      <w:r>
        <w:rPr>
          <w:rFonts w:hint="eastAsia"/>
        </w:rPr>
        <w:t>（三）亿元楼宇经营主体单位。</w:t>
      </w:r>
    </w:p>
    <w:p w:rsidR="00300653" w:rsidRDefault="00300653" w:rsidP="00300653">
      <w:pPr>
        <w:pStyle w:val="2"/>
        <w:ind w:firstLine="640"/>
        <w:rPr>
          <w:rFonts w:ascii="黑体" w:hAnsi="宋体"/>
          <w:szCs w:val="32"/>
        </w:rPr>
      </w:pPr>
      <w:r>
        <w:rPr>
          <w:rFonts w:hint="eastAsia"/>
        </w:rPr>
        <w:t>三、扶持标准</w:t>
      </w:r>
    </w:p>
    <w:p w:rsidR="00300653" w:rsidRDefault="00300653" w:rsidP="00300653">
      <w:pPr>
        <w:ind w:firstLine="640"/>
      </w:pPr>
      <w:r>
        <w:rPr>
          <w:rFonts w:hint="eastAsia"/>
        </w:rPr>
        <w:t>（一）引进年纳税额在</w:t>
      </w:r>
      <w:r>
        <w:t>1</w:t>
      </w:r>
      <w:r>
        <w:rPr>
          <w:rFonts w:hint="eastAsia"/>
        </w:rPr>
        <w:t>万元以上（含</w:t>
      </w:r>
      <w:r>
        <w:t>1</w:t>
      </w:r>
      <w:r>
        <w:rPr>
          <w:rFonts w:hint="eastAsia"/>
        </w:rPr>
        <w:t>万元）的注册企业的，按其当年所缴纳税收区留成部分总额的</w:t>
      </w:r>
      <w:r>
        <w:t>70%</w:t>
      </w:r>
      <w:r>
        <w:rPr>
          <w:rFonts w:hint="eastAsia"/>
        </w:rPr>
        <w:t>，给予楼宇经济主管部门资金补贴，由楼宇经济主管部门按与注册企业签订的入驻协议进行分配，按照本市有关规定，入驻企业所获补贴资金可用于户籍、子女入学、住房保障等方面的支出。年纳税额在</w:t>
      </w:r>
      <w:r>
        <w:t>1</w:t>
      </w:r>
      <w:r>
        <w:rPr>
          <w:rFonts w:hint="eastAsia"/>
        </w:rPr>
        <w:t>万元以下的注册企业不享受资金补贴。</w:t>
      </w:r>
    </w:p>
    <w:p w:rsidR="00300653" w:rsidRDefault="00300653" w:rsidP="00300653">
      <w:pPr>
        <w:ind w:firstLine="640"/>
      </w:pPr>
      <w:r>
        <w:rPr>
          <w:rFonts w:hint="eastAsia"/>
        </w:rPr>
        <w:lastRenderedPageBreak/>
        <w:t>（二）以辖区楼宇经济上年税收总额为基准，按年新增税收额度为标准进行分级，给予楼宇经济主管部门资金补贴。辖区楼宇经济年新增税收额超过</w:t>
      </w:r>
      <w:r>
        <w:t>1000</w:t>
      </w:r>
      <w:r>
        <w:rPr>
          <w:rFonts w:hint="eastAsia"/>
        </w:rPr>
        <w:t>至</w:t>
      </w:r>
      <w:r>
        <w:t>2000</w:t>
      </w:r>
      <w:r>
        <w:rPr>
          <w:rFonts w:hint="eastAsia"/>
        </w:rPr>
        <w:t>万元（含</w:t>
      </w:r>
      <w:r>
        <w:t>1000</w:t>
      </w:r>
      <w:r>
        <w:rPr>
          <w:rFonts w:hint="eastAsia"/>
        </w:rPr>
        <w:t>万元）的，给予楼宇经济税收区留成部分总额</w:t>
      </w:r>
      <w:r>
        <w:t>1%</w:t>
      </w:r>
      <w:r>
        <w:rPr>
          <w:rFonts w:hint="eastAsia"/>
        </w:rPr>
        <w:t>的资金补贴；超过</w:t>
      </w:r>
      <w:r>
        <w:t>2000</w:t>
      </w:r>
      <w:r>
        <w:rPr>
          <w:rFonts w:hint="eastAsia"/>
        </w:rPr>
        <w:t>至</w:t>
      </w:r>
      <w:r>
        <w:t>3000</w:t>
      </w:r>
      <w:r>
        <w:rPr>
          <w:rFonts w:hint="eastAsia"/>
        </w:rPr>
        <w:t>万元的，给予楼宇经济税收区留成部分总额</w:t>
      </w:r>
      <w:r>
        <w:t>2%</w:t>
      </w:r>
      <w:r>
        <w:rPr>
          <w:rFonts w:hint="eastAsia"/>
        </w:rPr>
        <w:t>的资金补贴；超过</w:t>
      </w:r>
      <w:r>
        <w:t>3000</w:t>
      </w:r>
      <w:r>
        <w:rPr>
          <w:rFonts w:hint="eastAsia"/>
        </w:rPr>
        <w:t>至</w:t>
      </w:r>
      <w:r>
        <w:t>4000</w:t>
      </w:r>
      <w:r>
        <w:rPr>
          <w:rFonts w:hint="eastAsia"/>
        </w:rPr>
        <w:t>万元的，给予楼宇经济税收区留成部分总额</w:t>
      </w:r>
      <w:r>
        <w:t>4%</w:t>
      </w:r>
      <w:r>
        <w:rPr>
          <w:rFonts w:hint="eastAsia"/>
        </w:rPr>
        <w:t>的资金补贴；超过</w:t>
      </w:r>
      <w:r>
        <w:t>4000</w:t>
      </w:r>
      <w:r>
        <w:rPr>
          <w:rFonts w:hint="eastAsia"/>
        </w:rPr>
        <w:t>至</w:t>
      </w:r>
      <w:r>
        <w:t>5000</w:t>
      </w:r>
      <w:r>
        <w:rPr>
          <w:rFonts w:hint="eastAsia"/>
        </w:rPr>
        <w:t>万元的，给予楼宇经济税收区留成部分总额</w:t>
      </w:r>
      <w:r>
        <w:t>6%</w:t>
      </w:r>
      <w:r>
        <w:rPr>
          <w:rFonts w:hint="eastAsia"/>
        </w:rPr>
        <w:t>的资金补贴；超过</w:t>
      </w:r>
      <w:r>
        <w:t>5000</w:t>
      </w:r>
      <w:r>
        <w:rPr>
          <w:rFonts w:hint="eastAsia"/>
        </w:rPr>
        <w:t>至</w:t>
      </w:r>
      <w:r>
        <w:t>6000</w:t>
      </w:r>
      <w:r>
        <w:rPr>
          <w:rFonts w:hint="eastAsia"/>
        </w:rPr>
        <w:t>万元的，给予楼宇经济税收区留成部分总额</w:t>
      </w:r>
      <w:r>
        <w:t>7%</w:t>
      </w:r>
      <w:r>
        <w:rPr>
          <w:rFonts w:hint="eastAsia"/>
        </w:rPr>
        <w:t>的资金补贴；超过</w:t>
      </w:r>
      <w:r>
        <w:t>6000</w:t>
      </w:r>
      <w:r>
        <w:rPr>
          <w:rFonts w:hint="eastAsia"/>
        </w:rPr>
        <w:t>至</w:t>
      </w:r>
      <w:r>
        <w:t>7000</w:t>
      </w:r>
      <w:r>
        <w:rPr>
          <w:rFonts w:hint="eastAsia"/>
        </w:rPr>
        <w:t>万元的，给予楼宇经济税收区留成部分总额</w:t>
      </w:r>
      <w:r>
        <w:t>8%</w:t>
      </w:r>
      <w:r>
        <w:rPr>
          <w:rFonts w:hint="eastAsia"/>
        </w:rPr>
        <w:t>的资金补贴；超过</w:t>
      </w:r>
      <w:r>
        <w:t>7000</w:t>
      </w:r>
      <w:r>
        <w:rPr>
          <w:rFonts w:hint="eastAsia"/>
        </w:rPr>
        <w:t>至</w:t>
      </w:r>
      <w:r>
        <w:t>8000</w:t>
      </w:r>
      <w:r>
        <w:rPr>
          <w:rFonts w:hint="eastAsia"/>
        </w:rPr>
        <w:t>万元的，给予楼宇经济税收区留成部分总额</w:t>
      </w:r>
      <w:r>
        <w:t>9%</w:t>
      </w:r>
      <w:r>
        <w:rPr>
          <w:rFonts w:hint="eastAsia"/>
        </w:rPr>
        <w:t>的资金补贴；超过</w:t>
      </w:r>
      <w:r>
        <w:t>8000</w:t>
      </w:r>
      <w:r>
        <w:rPr>
          <w:rFonts w:hint="eastAsia"/>
        </w:rPr>
        <w:t>万元以上的，给予楼宇经济税收区留成部分总额</w:t>
      </w:r>
      <w:r>
        <w:t>10%</w:t>
      </w:r>
      <w:r>
        <w:rPr>
          <w:rFonts w:hint="eastAsia"/>
        </w:rPr>
        <w:t>的资金补贴。补贴资金主要用于楼宇经济的招商引资、配套设施和服务平台建设等。</w:t>
      </w:r>
    </w:p>
    <w:p w:rsidR="00300653" w:rsidRDefault="00300653" w:rsidP="00300653">
      <w:pPr>
        <w:ind w:firstLine="640"/>
      </w:pPr>
      <w:r>
        <w:rPr>
          <w:rFonts w:hint="eastAsia"/>
        </w:rPr>
        <w:t>（三）扣除上述两项补贴资金后，按全区楼宇经济区实留税收</w:t>
      </w:r>
      <w:r>
        <w:t>5%</w:t>
      </w:r>
      <w:r>
        <w:rPr>
          <w:rFonts w:hint="eastAsia"/>
        </w:rPr>
        <w:t>的比例列支，给予年纳税额在</w:t>
      </w:r>
      <w:r>
        <w:t>1</w:t>
      </w:r>
      <w:r>
        <w:rPr>
          <w:rFonts w:hint="eastAsia"/>
        </w:rPr>
        <w:t>亿元以上（含</w:t>
      </w:r>
      <w:r>
        <w:t>1</w:t>
      </w:r>
      <w:r>
        <w:rPr>
          <w:rFonts w:hint="eastAsia"/>
        </w:rPr>
        <w:t>亿元）的商务楼宇经营主体单位一定数额的资金补贴。补贴资金主要用于商务楼宇的改造升级、招商引资、租金补贴等。具体补贴办法另行制定。</w:t>
      </w:r>
    </w:p>
    <w:p w:rsidR="00300653" w:rsidRDefault="00300653" w:rsidP="00300653">
      <w:pPr>
        <w:ind w:firstLine="640"/>
      </w:pPr>
      <w:r>
        <w:rPr>
          <w:rFonts w:hint="eastAsia"/>
        </w:rPr>
        <w:t>（四）对年纳税额较大的注册企业，根据行业采取一事一议方式给予一次性资金补贴。对采取一事一议方式的企业，其当年纳税额不计入辖区楼宇经济年度税收总额和税收增量中。</w:t>
      </w:r>
    </w:p>
    <w:p w:rsidR="00300653" w:rsidRDefault="00300653" w:rsidP="00300653">
      <w:pPr>
        <w:pStyle w:val="2"/>
        <w:ind w:firstLine="640"/>
      </w:pPr>
      <w:r>
        <w:rPr>
          <w:rFonts w:hint="eastAsia"/>
        </w:rPr>
        <w:lastRenderedPageBreak/>
        <w:t>四、楼宇经济发展载体认定</w:t>
      </w:r>
    </w:p>
    <w:p w:rsidR="00300653" w:rsidRDefault="00300653" w:rsidP="00300653">
      <w:pPr>
        <w:ind w:firstLine="640"/>
      </w:pPr>
      <w:r>
        <w:rPr>
          <w:rFonts w:hint="eastAsia"/>
        </w:rPr>
        <w:t>由商务楼宇（临时性楼宇经济发展载体）经营主体单位向楼宇经济主管部门提出申请，填写《津南区楼宇经济发展载体登记备案表》，一式</w:t>
      </w:r>
      <w:r>
        <w:t>3</w:t>
      </w:r>
      <w:r>
        <w:rPr>
          <w:rFonts w:hint="eastAsia"/>
        </w:rPr>
        <w:t>份，经楼宇经济主管部门初审后，报区商务委审批备案。未登记备案的楼宇经济发展载体不享受政策扶持。</w:t>
      </w:r>
    </w:p>
    <w:p w:rsidR="00300653" w:rsidRDefault="00300653" w:rsidP="00300653">
      <w:pPr>
        <w:pStyle w:val="2"/>
        <w:ind w:firstLine="640"/>
      </w:pPr>
      <w:r>
        <w:rPr>
          <w:rFonts w:hint="eastAsia"/>
        </w:rPr>
        <w:t>五、审批程序</w:t>
      </w:r>
    </w:p>
    <w:p w:rsidR="00300653" w:rsidRDefault="00300653" w:rsidP="00300653">
      <w:pPr>
        <w:ind w:firstLine="640"/>
      </w:pPr>
      <w:r>
        <w:rPr>
          <w:rFonts w:hint="eastAsia"/>
        </w:rPr>
        <w:t>（一）楼宇经济主管部门于年末组织辖区内符合条件的注册企业和商务楼宇（临时性楼宇经济发展载体）经营主体单位进行申报并负责初审，汇总、填写《申报补贴资金企业信息统计表》和《申报补贴资金企业纳税情况统计表》，一式</w:t>
      </w:r>
      <w:r>
        <w:t>5</w:t>
      </w:r>
      <w:r>
        <w:rPr>
          <w:rFonts w:hint="eastAsia"/>
        </w:rPr>
        <w:t>份，于下一年</w:t>
      </w:r>
      <w:r>
        <w:t>1</w:t>
      </w:r>
      <w:r>
        <w:rPr>
          <w:rFonts w:hint="eastAsia"/>
        </w:rPr>
        <w:t>月</w:t>
      </w:r>
      <w:r>
        <w:t>31</w:t>
      </w:r>
      <w:r>
        <w:rPr>
          <w:rFonts w:hint="eastAsia"/>
        </w:rPr>
        <w:t>日前报区商务委。</w:t>
      </w:r>
    </w:p>
    <w:p w:rsidR="00300653" w:rsidRDefault="00300653" w:rsidP="00300653">
      <w:pPr>
        <w:ind w:firstLine="640"/>
      </w:pPr>
      <w:r>
        <w:rPr>
          <w:rFonts w:hint="eastAsia"/>
        </w:rPr>
        <w:t>（二）申报补贴资金企业需提供企业法人营业执照、税务登记证的复印件和税务部门出具的纳税证明材料。</w:t>
      </w:r>
    </w:p>
    <w:p w:rsidR="00300653" w:rsidRDefault="00300653" w:rsidP="00300653">
      <w:pPr>
        <w:ind w:firstLine="640"/>
      </w:pPr>
      <w:r>
        <w:rPr>
          <w:rFonts w:hint="eastAsia"/>
        </w:rPr>
        <w:t>（三）区商务委会同财政、工商、税务部门进行联审，于每年</w:t>
      </w:r>
      <w:r>
        <w:t>2</w:t>
      </w:r>
      <w:r>
        <w:rPr>
          <w:rFonts w:hint="eastAsia"/>
        </w:rPr>
        <w:t>月</w:t>
      </w:r>
      <w:r>
        <w:t>28</w:t>
      </w:r>
      <w:r>
        <w:rPr>
          <w:rFonts w:hint="eastAsia"/>
        </w:rPr>
        <w:t>日前将联审结果汇总后，报区人民政府审批。</w:t>
      </w:r>
    </w:p>
    <w:p w:rsidR="00300653" w:rsidRDefault="00300653" w:rsidP="00300653">
      <w:pPr>
        <w:ind w:firstLine="640"/>
      </w:pPr>
      <w:r>
        <w:rPr>
          <w:rFonts w:hint="eastAsia"/>
        </w:rPr>
        <w:t>（四）区财政局将补贴资金统一拨付楼宇经济主管部门，由楼宇经济主管部门负责分配兑现。</w:t>
      </w:r>
    </w:p>
    <w:p w:rsidR="00300653" w:rsidRDefault="00300653" w:rsidP="00300653">
      <w:pPr>
        <w:pStyle w:val="2"/>
        <w:ind w:firstLine="640"/>
        <w:rPr>
          <w:rFonts w:ascii="黑体" w:hAnsi="宋体"/>
          <w:szCs w:val="32"/>
        </w:rPr>
      </w:pPr>
      <w:r>
        <w:rPr>
          <w:rFonts w:hint="eastAsia"/>
        </w:rPr>
        <w:t>六、监督管理</w:t>
      </w:r>
    </w:p>
    <w:p w:rsidR="00300653" w:rsidRDefault="00300653" w:rsidP="00300653">
      <w:pPr>
        <w:ind w:firstLine="640"/>
      </w:pPr>
      <w:r>
        <w:rPr>
          <w:rFonts w:hint="eastAsia"/>
        </w:rPr>
        <w:t>（一）区商务委负责牵头，具体负责楼宇经济发展载体的审批认定和联审材料的汇总上报工作。区财政局负责补贴资金的核算、拨付工作。工商津南分局负责注册企业的审核、认定工作。国税局、地税局负责注册企业纳税情况的审核、认定工作。区审计局要加强对补贴资金拨付和使用情况的审</w:t>
      </w:r>
      <w:r>
        <w:rPr>
          <w:rFonts w:hint="eastAsia"/>
        </w:rPr>
        <w:lastRenderedPageBreak/>
        <w:t>计。</w:t>
      </w:r>
    </w:p>
    <w:p w:rsidR="00300653" w:rsidRDefault="00300653" w:rsidP="00300653">
      <w:pPr>
        <w:ind w:firstLine="640"/>
      </w:pPr>
      <w:r>
        <w:rPr>
          <w:rFonts w:hint="eastAsia"/>
        </w:rPr>
        <w:t>（二）任何单位不得截留、挪用、骗取补贴资金。对虚报冒领、挪用补贴资金等违反财经纪律的，予以收缴已拨付的补贴资金。情节严重构成犯罪的，依法追究刑事责任。</w:t>
      </w:r>
    </w:p>
    <w:p w:rsidR="00300653" w:rsidRDefault="00300653" w:rsidP="00300653">
      <w:pPr>
        <w:pStyle w:val="2"/>
        <w:ind w:firstLine="640"/>
        <w:rPr>
          <w:rFonts w:ascii="黑体" w:hAnsi="宋体"/>
          <w:szCs w:val="32"/>
        </w:rPr>
      </w:pPr>
      <w:r>
        <w:rPr>
          <w:rFonts w:hint="eastAsia"/>
        </w:rPr>
        <w:t>七、附则</w:t>
      </w:r>
    </w:p>
    <w:p w:rsidR="00300653" w:rsidRDefault="00300653" w:rsidP="00300653">
      <w:pPr>
        <w:ind w:firstLine="640"/>
      </w:pPr>
      <w:r>
        <w:rPr>
          <w:rFonts w:hint="eastAsia"/>
        </w:rPr>
        <w:t>（一）本规定由区商务委、财政局负责解释。</w:t>
      </w:r>
    </w:p>
    <w:p w:rsidR="00300653" w:rsidRDefault="00300653" w:rsidP="00300653">
      <w:pPr>
        <w:ind w:firstLine="640"/>
      </w:pPr>
      <w:r>
        <w:rPr>
          <w:rFonts w:hint="eastAsia"/>
        </w:rPr>
        <w:t>（二）本规定自</w:t>
      </w:r>
      <w:r>
        <w:t>2013</w:t>
      </w:r>
      <w:r>
        <w:rPr>
          <w:rFonts w:hint="eastAsia"/>
        </w:rPr>
        <w:t>年</w:t>
      </w:r>
      <w:r>
        <w:t xml:space="preserve"> 1</w:t>
      </w:r>
      <w:r>
        <w:rPr>
          <w:rFonts w:hint="eastAsia"/>
        </w:rPr>
        <w:t>月</w:t>
      </w:r>
      <w:r>
        <w:t xml:space="preserve"> 1 </w:t>
      </w:r>
      <w:r>
        <w:rPr>
          <w:rFonts w:hint="eastAsia"/>
        </w:rPr>
        <w:t>日起试行，如遇国家、市、区政策调整，则做相应调整。</w:t>
      </w:r>
    </w:p>
    <w:p w:rsidR="00334636" w:rsidRDefault="00334636">
      <w:pPr>
        <w:ind w:firstLine="640"/>
      </w:pPr>
      <w:bookmarkStart w:id="0" w:name="_GoBack"/>
      <w:bookmarkEnd w:id="0"/>
    </w:p>
    <w:sectPr w:rsidR="00334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6F" w:rsidRDefault="007A296F" w:rsidP="00300653">
      <w:pPr>
        <w:spacing w:line="240" w:lineRule="auto"/>
        <w:ind w:firstLine="640"/>
      </w:pPr>
      <w:r>
        <w:separator/>
      </w:r>
    </w:p>
  </w:endnote>
  <w:endnote w:type="continuationSeparator" w:id="0">
    <w:p w:rsidR="007A296F" w:rsidRDefault="007A296F" w:rsidP="0030065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6F" w:rsidRDefault="007A296F" w:rsidP="00300653">
      <w:pPr>
        <w:spacing w:line="240" w:lineRule="auto"/>
        <w:ind w:firstLine="640"/>
      </w:pPr>
      <w:r>
        <w:separator/>
      </w:r>
    </w:p>
  </w:footnote>
  <w:footnote w:type="continuationSeparator" w:id="0">
    <w:p w:rsidR="007A296F" w:rsidRDefault="007A296F" w:rsidP="00300653">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CB"/>
    <w:rsid w:val="00300653"/>
    <w:rsid w:val="00334636"/>
    <w:rsid w:val="007A296F"/>
    <w:rsid w:val="00FF0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3E3C31-A55D-4F1C-8459-E84F0C50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653"/>
    <w:pPr>
      <w:widowControl w:val="0"/>
      <w:spacing w:line="560" w:lineRule="exact"/>
      <w:ind w:firstLineChars="200" w:firstLine="960"/>
      <w:jc w:val="both"/>
    </w:pPr>
    <w:rPr>
      <w:rFonts w:ascii="仿宋" w:eastAsia="仿宋" w:hAnsi="仿宋" w:cs="Calibri"/>
      <w:sz w:val="32"/>
      <w:szCs w:val="21"/>
    </w:rPr>
  </w:style>
  <w:style w:type="paragraph" w:styleId="1">
    <w:name w:val="heading 1"/>
    <w:basedOn w:val="a"/>
    <w:next w:val="a"/>
    <w:link w:val="1Char"/>
    <w:qFormat/>
    <w:rsid w:val="00300653"/>
    <w:pPr>
      <w:keepNext/>
      <w:keepLines/>
      <w:spacing w:afterLines="50" w:after="50"/>
      <w:ind w:firstLineChars="0" w:firstLine="0"/>
      <w:jc w:val="center"/>
      <w:outlineLvl w:val="0"/>
    </w:pPr>
    <w:rPr>
      <w:rFonts w:eastAsia="方正小标宋简体"/>
      <w:kern w:val="44"/>
      <w:sz w:val="44"/>
    </w:rPr>
  </w:style>
  <w:style w:type="paragraph" w:styleId="2">
    <w:name w:val="heading 2"/>
    <w:basedOn w:val="a"/>
    <w:next w:val="a"/>
    <w:link w:val="2Char"/>
    <w:qFormat/>
    <w:rsid w:val="00300653"/>
    <w:pPr>
      <w:keepNext/>
      <w:keepLines/>
      <w:outlineLvl w:val="1"/>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065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0653"/>
    <w:rPr>
      <w:sz w:val="18"/>
      <w:szCs w:val="18"/>
    </w:rPr>
  </w:style>
  <w:style w:type="paragraph" w:styleId="a4">
    <w:name w:val="footer"/>
    <w:basedOn w:val="a"/>
    <w:link w:val="Char0"/>
    <w:uiPriority w:val="99"/>
    <w:unhideWhenUsed/>
    <w:rsid w:val="00300653"/>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0653"/>
    <w:rPr>
      <w:sz w:val="18"/>
      <w:szCs w:val="18"/>
    </w:rPr>
  </w:style>
  <w:style w:type="character" w:customStyle="1" w:styleId="1Char">
    <w:name w:val="标题 1 Char"/>
    <w:basedOn w:val="a0"/>
    <w:link w:val="1"/>
    <w:rsid w:val="00300653"/>
    <w:rPr>
      <w:rFonts w:ascii="仿宋" w:eastAsia="方正小标宋简体" w:hAnsi="仿宋" w:cs="Calibri"/>
      <w:kern w:val="44"/>
      <w:sz w:val="44"/>
      <w:szCs w:val="21"/>
    </w:rPr>
  </w:style>
  <w:style w:type="character" w:customStyle="1" w:styleId="2Char">
    <w:name w:val="标题 2 Char"/>
    <w:basedOn w:val="a0"/>
    <w:link w:val="2"/>
    <w:rsid w:val="00300653"/>
    <w:rPr>
      <w:rFonts w:ascii="Arial" w:eastAsia="黑体" w:hAnsi="Arial" w:cs="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1506</Characters>
  <Application>Microsoft Office Word</Application>
  <DocSecurity>0</DocSecurity>
  <Lines>12</Lines>
  <Paragraphs>3</Paragraphs>
  <ScaleCrop>false</ScaleCrop>
  <Company>微软中国</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2018-11-05T03:48:00Z</dcterms:created>
  <dcterms:modified xsi:type="dcterms:W3CDTF">2018-11-05T03:48:00Z</dcterms:modified>
</cp:coreProperties>
</file>