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6D" w:rsidRPr="0056316D" w:rsidRDefault="0056316D" w:rsidP="0056316D">
      <w:pPr>
        <w:widowControl/>
        <w:shd w:val="clear" w:color="auto" w:fill="FFFFFF"/>
        <w:spacing w:line="720" w:lineRule="atLeast"/>
        <w:jc w:val="center"/>
        <w:outlineLvl w:val="0"/>
        <w:rPr>
          <w:rFonts w:ascii="微软雅黑" w:eastAsia="微软雅黑" w:hAnsi="微软雅黑" w:cs="宋体"/>
          <w:color w:val="333333"/>
          <w:kern w:val="36"/>
          <w:sz w:val="45"/>
          <w:szCs w:val="45"/>
        </w:rPr>
      </w:pPr>
      <w:bookmarkStart w:id="0" w:name="_GoBack"/>
      <w:r w:rsidRPr="0056316D">
        <w:rPr>
          <w:rFonts w:ascii="微软雅黑" w:eastAsia="微软雅黑" w:hAnsi="微软雅黑" w:cs="宋体" w:hint="eastAsia"/>
          <w:color w:val="333333"/>
          <w:kern w:val="36"/>
          <w:sz w:val="45"/>
          <w:szCs w:val="45"/>
        </w:rPr>
        <w:t>关于《霍邱县招商引资优惠政策暂行规定》的解读</w:t>
      </w:r>
      <w:bookmarkEnd w:id="0"/>
      <w:r w:rsidRPr="0056316D">
        <w:rPr>
          <w:rFonts w:ascii="微软雅黑" w:eastAsia="微软雅黑" w:hAnsi="微软雅黑" w:cs="宋体" w:hint="eastAsia"/>
          <w:color w:val="333333"/>
          <w:kern w:val="36"/>
          <w:sz w:val="45"/>
          <w:szCs w:val="45"/>
        </w:rPr>
        <w:t xml:space="preserve"> </w:t>
      </w:r>
    </w:p>
    <w:p w:rsidR="0056316D" w:rsidRPr="0056316D" w:rsidRDefault="0056316D" w:rsidP="0056316D">
      <w:pPr>
        <w:widowControl/>
        <w:shd w:val="clear" w:color="auto" w:fill="FFFFFF"/>
        <w:spacing w:line="450" w:lineRule="atLeast"/>
        <w:jc w:val="center"/>
        <w:rPr>
          <w:rFonts w:ascii="微软雅黑" w:eastAsia="微软雅黑" w:hAnsi="微软雅黑" w:cs="宋体" w:hint="eastAsia"/>
          <w:color w:val="999999"/>
          <w:kern w:val="0"/>
          <w:szCs w:val="21"/>
        </w:rPr>
      </w:pPr>
      <w:r w:rsidRPr="0056316D">
        <w:rPr>
          <w:rFonts w:ascii="微软雅黑" w:eastAsia="微软雅黑" w:hAnsi="微软雅黑" w:cs="宋体" w:hint="eastAsia"/>
          <w:color w:val="999999"/>
          <w:kern w:val="0"/>
          <w:szCs w:val="21"/>
        </w:rPr>
        <w:t xml:space="preserve">2017-06-20 00:00   文字大小：[ </w:t>
      </w:r>
      <w:hyperlink r:id="rId6" w:history="1">
        <w:r w:rsidRPr="0056316D">
          <w:rPr>
            <w:rFonts w:ascii="微软雅黑" w:eastAsia="微软雅黑" w:hAnsi="微软雅黑" w:cs="宋体" w:hint="eastAsia"/>
            <w:color w:val="999999"/>
            <w:kern w:val="0"/>
            <w:szCs w:val="21"/>
            <w:u w:val="single"/>
          </w:rPr>
          <w:t>大</w:t>
        </w:r>
      </w:hyperlink>
      <w:r w:rsidRPr="0056316D">
        <w:rPr>
          <w:rFonts w:ascii="微软雅黑" w:eastAsia="微软雅黑" w:hAnsi="微软雅黑" w:cs="宋体" w:hint="eastAsia"/>
          <w:color w:val="999999"/>
          <w:kern w:val="0"/>
          <w:szCs w:val="21"/>
        </w:rPr>
        <w:t xml:space="preserve"> </w:t>
      </w:r>
      <w:hyperlink r:id="rId7" w:history="1">
        <w:r w:rsidRPr="0056316D">
          <w:rPr>
            <w:rFonts w:ascii="微软雅黑" w:eastAsia="微软雅黑" w:hAnsi="微软雅黑" w:cs="宋体" w:hint="eastAsia"/>
            <w:color w:val="999999"/>
            <w:kern w:val="0"/>
            <w:szCs w:val="21"/>
            <w:u w:val="single"/>
          </w:rPr>
          <w:t>中</w:t>
        </w:r>
      </w:hyperlink>
      <w:r w:rsidRPr="0056316D">
        <w:rPr>
          <w:rFonts w:ascii="微软雅黑" w:eastAsia="微软雅黑" w:hAnsi="微软雅黑" w:cs="宋体" w:hint="eastAsia"/>
          <w:color w:val="999999"/>
          <w:kern w:val="0"/>
          <w:szCs w:val="21"/>
        </w:rPr>
        <w:t xml:space="preserve"> </w:t>
      </w:r>
      <w:hyperlink r:id="rId8" w:history="1">
        <w:r w:rsidRPr="0056316D">
          <w:rPr>
            <w:rFonts w:ascii="微软雅黑" w:eastAsia="微软雅黑" w:hAnsi="微软雅黑" w:cs="宋体" w:hint="eastAsia"/>
            <w:color w:val="999999"/>
            <w:kern w:val="0"/>
            <w:szCs w:val="21"/>
            <w:u w:val="single"/>
          </w:rPr>
          <w:t>小</w:t>
        </w:r>
      </w:hyperlink>
      <w:r w:rsidRPr="0056316D">
        <w:rPr>
          <w:rFonts w:ascii="微软雅黑" w:eastAsia="微软雅黑" w:hAnsi="微软雅黑" w:cs="宋体" w:hint="eastAsia"/>
          <w:color w:val="999999"/>
          <w:kern w:val="0"/>
          <w:szCs w:val="21"/>
        </w:rPr>
        <w:t xml:space="preserve"> ]   背景色：        </w:t>
      </w:r>
    </w:p>
    <w:p w:rsidR="0056316D" w:rsidRPr="0056316D" w:rsidRDefault="0056316D" w:rsidP="0056316D">
      <w:pPr>
        <w:widowControl/>
        <w:shd w:val="clear" w:color="auto" w:fill="FFFFFF"/>
        <w:spacing w:line="528" w:lineRule="auto"/>
        <w:jc w:val="left"/>
        <w:rPr>
          <w:rFonts w:ascii="微软雅黑" w:eastAsia="微软雅黑" w:hAnsi="微软雅黑" w:cs="宋体" w:hint="eastAsia"/>
          <w:color w:val="333333"/>
          <w:kern w:val="0"/>
          <w:sz w:val="24"/>
          <w:szCs w:val="24"/>
        </w:rPr>
      </w:pPr>
      <w:r w:rsidRPr="0056316D">
        <w:rPr>
          <w:rFonts w:ascii="微软雅黑" w:eastAsia="微软雅黑" w:hAnsi="微软雅黑" w:cs="宋体" w:hint="eastAsia"/>
          <w:color w:val="333333"/>
          <w:kern w:val="0"/>
          <w:sz w:val="24"/>
          <w:szCs w:val="24"/>
        </w:rPr>
        <w:t xml:space="preserve">  </w:t>
      </w:r>
    </w:p>
    <w:p w:rsidR="0056316D" w:rsidRPr="0056316D" w:rsidRDefault="0056316D" w:rsidP="0056316D">
      <w:pPr>
        <w:widowControl/>
        <w:shd w:val="clear" w:color="auto" w:fill="FFFFFF"/>
        <w:spacing w:line="528" w:lineRule="auto"/>
        <w:jc w:val="center"/>
        <w:rPr>
          <w:rFonts w:ascii="宋体" w:eastAsia="宋体" w:hAnsi="宋体" w:cs="宋体" w:hint="eastAsia"/>
          <w:color w:val="333333"/>
          <w:kern w:val="0"/>
          <w:sz w:val="24"/>
          <w:szCs w:val="24"/>
        </w:rPr>
      </w:pPr>
      <w:r w:rsidRPr="0056316D">
        <w:rPr>
          <w:rFonts w:ascii="宋体" w:eastAsia="宋体" w:hAnsi="宋体" w:cs="宋体" w:hint="eastAsia"/>
          <w:b/>
          <w:bCs/>
          <w:color w:val="333333"/>
          <w:kern w:val="0"/>
          <w:sz w:val="24"/>
          <w:szCs w:val="24"/>
        </w:rPr>
        <w:t> </w:t>
      </w:r>
      <w:r w:rsidRPr="0056316D">
        <w:rPr>
          <w:rFonts w:ascii="宋体" w:eastAsia="宋体" w:hAnsi="宋体" w:cs="宋体"/>
          <w:color w:val="333333"/>
          <w:kern w:val="0"/>
          <w:sz w:val="24"/>
          <w:szCs w:val="24"/>
        </w:rPr>
        <w:t xml:space="preserve"> </w:t>
      </w:r>
    </w:p>
    <w:p w:rsidR="0056316D" w:rsidRPr="0056316D" w:rsidRDefault="0056316D" w:rsidP="0056316D">
      <w:pPr>
        <w:widowControl/>
        <w:shd w:val="clear" w:color="auto" w:fill="FFFFFF"/>
        <w:spacing w:line="528" w:lineRule="auto"/>
        <w:ind w:firstLine="880"/>
        <w:jc w:val="center"/>
        <w:rPr>
          <w:rFonts w:ascii="宋体" w:eastAsia="宋体" w:hAnsi="宋体" w:cs="宋体"/>
          <w:color w:val="333333"/>
          <w:kern w:val="0"/>
          <w:sz w:val="24"/>
          <w:szCs w:val="24"/>
        </w:rPr>
      </w:pPr>
      <w:r w:rsidRPr="0056316D">
        <w:rPr>
          <w:rFonts w:ascii="宋体" w:eastAsia="宋体" w:hAnsi="宋体" w:cs="宋体" w:hint="eastAsia"/>
          <w:b/>
          <w:bCs/>
          <w:color w:val="333333"/>
          <w:kern w:val="0"/>
          <w:sz w:val="44"/>
          <w:szCs w:val="44"/>
        </w:rPr>
        <w:t>关于招商引资优惠政策的解读</w:t>
      </w:r>
      <w:r w:rsidRPr="0056316D">
        <w:rPr>
          <w:rFonts w:ascii="宋体" w:eastAsia="宋体" w:hAnsi="宋体" w:cs="宋体"/>
          <w:b/>
          <w:bCs/>
          <w:color w:val="333333"/>
          <w:kern w:val="0"/>
          <w:sz w:val="24"/>
          <w:szCs w:val="24"/>
        </w:rPr>
        <w:t xml:space="preserve"> </w:t>
      </w:r>
    </w:p>
    <w:p w:rsidR="0056316D" w:rsidRPr="0056316D" w:rsidRDefault="0056316D" w:rsidP="0056316D">
      <w:pPr>
        <w:widowControl/>
        <w:shd w:val="clear" w:color="auto" w:fill="FFFFFF"/>
        <w:spacing w:line="528" w:lineRule="auto"/>
        <w:ind w:firstLine="560"/>
        <w:jc w:val="left"/>
        <w:rPr>
          <w:rFonts w:ascii="宋体" w:eastAsia="宋体" w:hAnsi="宋体" w:cs="宋体"/>
          <w:color w:val="333333"/>
          <w:kern w:val="0"/>
          <w:sz w:val="24"/>
          <w:szCs w:val="24"/>
        </w:rPr>
      </w:pPr>
      <w:r w:rsidRPr="0056316D">
        <w:rPr>
          <w:rFonts w:ascii="华文仿宋" w:eastAsia="华文仿宋" w:hAnsi="华文仿宋" w:cs="宋体" w:hint="eastAsia"/>
          <w:b/>
          <w:bCs/>
          <w:color w:val="333333"/>
          <w:kern w:val="0"/>
          <w:sz w:val="28"/>
          <w:szCs w:val="28"/>
        </w:rPr>
        <w:t>一、出台背景：根据国家、省、市有关规定，结合我县实际，县委县政府制定优惠政策。</w:t>
      </w:r>
      <w:r w:rsidRPr="0056316D">
        <w:rPr>
          <w:rFonts w:ascii="宋体" w:eastAsia="宋体" w:hAnsi="宋体" w:cs="宋体"/>
          <w:b/>
          <w:bCs/>
          <w:color w:val="333333"/>
          <w:kern w:val="0"/>
          <w:sz w:val="24"/>
          <w:szCs w:val="24"/>
        </w:rPr>
        <w:t xml:space="preserve"> </w:t>
      </w:r>
    </w:p>
    <w:p w:rsidR="0056316D" w:rsidRPr="0056316D" w:rsidRDefault="0056316D" w:rsidP="0056316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28" w:lineRule="auto"/>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 二、出台意义：为鼓励和吸引投资，推进我县经济社会又好又快发展。</w:t>
      </w:r>
    </w:p>
    <w:p w:rsidR="0056316D" w:rsidRPr="0056316D" w:rsidRDefault="0056316D" w:rsidP="0056316D">
      <w:pPr>
        <w:widowControl/>
        <w:shd w:val="clear" w:color="auto" w:fill="FFFFFF"/>
        <w:spacing w:line="528" w:lineRule="auto"/>
        <w:ind w:firstLine="640"/>
        <w:jc w:val="left"/>
        <w:rPr>
          <w:rFonts w:ascii="宋体" w:eastAsia="宋体" w:hAnsi="宋体" w:cs="宋体" w:hint="eastAsia"/>
          <w:b/>
          <w:bCs/>
          <w:color w:val="333333"/>
          <w:kern w:val="0"/>
          <w:sz w:val="24"/>
          <w:szCs w:val="24"/>
        </w:rPr>
      </w:pPr>
      <w:r w:rsidRPr="0056316D">
        <w:rPr>
          <w:rFonts w:ascii="华文仿宋" w:eastAsia="华文仿宋" w:hAnsi="华文仿宋" w:cs="宋体" w:hint="eastAsia"/>
          <w:b/>
          <w:bCs/>
          <w:color w:val="333333"/>
          <w:kern w:val="0"/>
          <w:sz w:val="28"/>
          <w:szCs w:val="28"/>
        </w:rPr>
        <w:t xml:space="preserve">三、出台概念：本优惠政策适用于在霍邱县境内投资、注册、纳税，具有独立法人资格的企业。本优惠政策所指项目必须符合我县土地利用总体规划、城乡建设规划、产业发展规划和节能、环保、安全要求。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工业项目政策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本优惠政策所指工业项目不包括矿业采选类项目、农副产品初加工类项目、一般建材类项目（主要指商品混凝土生产、传统砖瓦生产、水泥制品生产和沥青搅拌等项目）以及享受政府特殊政策补贴的项目（主要指新能源发电、垃圾处理、固废处理、污水处理项</w:t>
      </w:r>
      <w:r w:rsidRPr="0056316D">
        <w:rPr>
          <w:rFonts w:ascii="华文仿宋" w:eastAsia="华文仿宋" w:hAnsi="华文仿宋" w:cs="宋体" w:hint="eastAsia"/>
          <w:b/>
          <w:bCs/>
          <w:color w:val="333333"/>
          <w:kern w:val="0"/>
          <w:sz w:val="28"/>
          <w:szCs w:val="28"/>
        </w:rPr>
        <w:lastRenderedPageBreak/>
        <w:t xml:space="preserve">目等）和国家《产业结构调整指导目录》（最新版）中限制类项目。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农业项目政策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新建固定资产1000万元以上设施农业项目（不包括设施养殖项目），县财政对投资者按固定资产投资额的3‰给予奖励，最高不超过100万元。 新建固定资产1000万元以上生态休闲观光农业项目，县财政按固定资产投资总额的3％给予补助。新建固定资产3000万元以上的农副产品初加工项目（粮食初加工除外），县财政按固定资产投资总额的1％给予补助。新建固定资产投资1000万元以上的农副产品深加工项目，享受第二章的工业项目政策。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商贸物流项目政策 </w:t>
      </w:r>
    </w:p>
    <w:p w:rsidR="0056316D" w:rsidRPr="0056316D" w:rsidRDefault="0056316D" w:rsidP="0056316D">
      <w:pPr>
        <w:widowControl/>
        <w:shd w:val="clear" w:color="auto" w:fill="FFFFFF"/>
        <w:spacing w:line="528" w:lineRule="auto"/>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444444"/>
          <w:kern w:val="0"/>
          <w:sz w:val="28"/>
          <w:szCs w:val="28"/>
        </w:rPr>
        <w:t xml:space="preserve">    </w:t>
      </w:r>
      <w:r w:rsidRPr="0056316D">
        <w:rPr>
          <w:rFonts w:ascii="华文仿宋" w:eastAsia="华文仿宋" w:hAnsi="华文仿宋" w:cs="宋体" w:hint="eastAsia"/>
          <w:b/>
          <w:bCs/>
          <w:color w:val="333333"/>
          <w:kern w:val="0"/>
          <w:sz w:val="28"/>
          <w:szCs w:val="28"/>
        </w:rPr>
        <w:t>凡在我县投资新办现代物流企业，自合同约定的运营之日起，其足额缴纳的房产税、城镇土地使用税、增值税、企业所得税地方留成部分的50%，连续5年由税收受益财政等额给予奖励。新建投资建筑面积2万㎡以上、建成后产权不分割出售的大型商业项目，或新引进营业面积1万㎡以上的国内外知名连锁商贸企业，自合同约定的运营之日起，其足额缴纳的增值税、企业所得税地方留成部分的50%，连续5年由税收受益财政等额给予奖励。新建农产品批发市场和农贸市场使用的土地、房产，按国家政策免征城镇土地使用税和房产税。新引进年纳税额100万元以上总部经济项目，自合同</w:t>
      </w:r>
      <w:r w:rsidRPr="0056316D">
        <w:rPr>
          <w:rFonts w:ascii="华文仿宋" w:eastAsia="华文仿宋" w:hAnsi="华文仿宋" w:cs="宋体" w:hint="eastAsia"/>
          <w:b/>
          <w:bCs/>
          <w:color w:val="333333"/>
          <w:kern w:val="0"/>
          <w:sz w:val="28"/>
          <w:szCs w:val="28"/>
        </w:rPr>
        <w:lastRenderedPageBreak/>
        <w:t xml:space="preserve">约定的运营之日起，其足额缴纳的增值税、企业所得税地方留成部分的50%，连续5年由税收受益财政等额给予奖励。新引进独立电子商务交易平台或第三方电子商务交易平台，平台建设设备和软件实际投资额超过500万元的项目，按其设备和软件实际投资额的20%给予补助，最高不超过500万元。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第五章 文化旅游项目政策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新建固定资产投资3000万元以上文体项目按文体设施、设备器材投入（不含配套商业）的3%给予补助，最高不超过500万元。新建独立选址的三星级、四星级、五星级宾馆（酒店）项目用地按该地块商业基准地价以现状净地挂牌出让。若5年期内不能获得授牌，则不予扶持。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凡投资新建旅游A级景区的，经审核授牌后县财政给予一次性奖励。具体标准为：获AAA级旅游景区奖励50万元，获AAAA级旅游景区奖励200万元，获AAAAA级旅游景区奖励500万元。对晋级的景区给予级差奖励。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第六章 金融中介服务项目政策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新入驻我县的银行、保险、证券公司、风险投资公司、基金管理公司等机构总部或省市级分支机构，且注册资本在5000万元以上的，自合同约定的运营之日起，其足额缴纳的增值税、企业所得税地方留成部分，前2年按100%标准由税收受益财政等额给予奖励，</w:t>
      </w:r>
      <w:r w:rsidRPr="0056316D">
        <w:rPr>
          <w:rFonts w:ascii="华文仿宋" w:eastAsia="华文仿宋" w:hAnsi="华文仿宋" w:cs="宋体" w:hint="eastAsia"/>
          <w:b/>
          <w:bCs/>
          <w:color w:val="333333"/>
          <w:kern w:val="0"/>
          <w:sz w:val="28"/>
          <w:szCs w:val="28"/>
        </w:rPr>
        <w:lastRenderedPageBreak/>
        <w:t xml:space="preserve">后3年按50%标准由税收受益财政等额给予奖励。新入驻我县且注册资本在1亿元以上金融租赁企业和注册资本在5000万元以上的信托投资、信用担保、小额贷款及其他金融中介服务企业，自合同约定的运营之日起，其足额缴纳的增值税、企业所得税地方留成部分的50%，连续5年由受益财政等额给予奖励。 凡新入驻我县年纳税额50万元以上的网络运营服务、软件服务企业，自合同约定的运营之日起，其足额缴纳的增值税、企业所得税地方留成部分的50%，连续5年由税收受益财政等额给予奖励。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第七章 社会办养老项目政策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新建一般养老项目，通过民政部门认定达到标准的，每张床位给予３０００元一次性开办补贴，且按实际运营床位每张每年再给予２００元的运营补贴。从银行等金融机构贷款用于养老机构固定资产投资的，县财政按照同期贷款基准利率的30%给予贷款贴息补助。 </w:t>
      </w:r>
    </w:p>
    <w:p w:rsidR="0056316D" w:rsidRPr="0056316D" w:rsidRDefault="0056316D" w:rsidP="0056316D">
      <w:pPr>
        <w:widowControl/>
        <w:shd w:val="clear" w:color="auto" w:fill="FFFFFF"/>
        <w:spacing w:line="528" w:lineRule="auto"/>
        <w:jc w:val="center"/>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 xml:space="preserve">第八章 附则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t>境外投资项目（指上面所列项目）除享受以上优惠政策外，对固定资产投资总额达到300万美元的，县财政奖励企业10万元人民币，在此基础上，每增加100万美元的投资，再奖励5万元人民币，奖励最高金额不超过500万元人民币。拟上市公司项目按《霍邱县人民政府关于鼓励和支持企业上市挂牌的意见》（霍政</w:t>
      </w:r>
      <w:r w:rsidRPr="0056316D">
        <w:rPr>
          <w:rFonts w:ascii="华文仿宋" w:eastAsia="华文仿宋" w:hAnsi="华文仿宋" w:cs="宋体" w:hint="eastAsia"/>
          <w:b/>
          <w:bCs/>
          <w:color w:val="333333"/>
          <w:kern w:val="0"/>
          <w:sz w:val="28"/>
          <w:szCs w:val="28"/>
        </w:rPr>
        <w:lastRenderedPageBreak/>
        <w:t xml:space="preserve">〔2016〕36号文件）执行。对外来投资企业的投资人，在工业项目投资额达到1000万元、非工业项目达到2000万元时，经县招商引资领导组认定，可颁发给霍邱县客商服务卡；投资额达到1亿元时，可授予其“霍邱荣誉市民”称号，并享受相应的优惠待遇。外来投资企业的人才招聘、劳动用工及职工社会保险、员工户口迁移、购物置业、子女就学等，收费标准一律等同于当地企业和居民，并优先办理。重大招商项目实行“一事一议”，享受特别优惠政策。但已享受“一事一议”优惠政策的项目和已享受县内出台的其它优惠政策的项目，不再享受本优惠政策。每个招商项目，在投资合同中必须约定固定资产投资总额、投资强度、年实现税收、建成投产时间等要件。未经县招商局审核把关、盖章认可的合同（与县政府直接签订的合同除外），不享受本优惠政策。优惠政策的兑现，由县招商局根据企业申请，约请第三方评估机构进行现场评定，经相关部门组成的审核小组审核后形成初步建议，提请有关会议审定。工业项目在合同约定的竣工时间满一年后兑现，其他项目在合同约定的运营时间满一年后兑现。企业实现不了合同约定，不享受此优惠政策。企业提供虚假信息骗取奖补资金的，负责审核、兑现单位申请相关部门依法追回奖补资金并永久性取消企业奖补资格。 </w:t>
      </w:r>
    </w:p>
    <w:p w:rsidR="0056316D" w:rsidRPr="0056316D" w:rsidRDefault="0056316D" w:rsidP="0056316D">
      <w:pPr>
        <w:widowControl/>
        <w:shd w:val="clear" w:color="auto" w:fill="FFFFFF"/>
        <w:spacing w:line="528" w:lineRule="auto"/>
        <w:ind w:firstLine="640"/>
        <w:jc w:val="left"/>
        <w:rPr>
          <w:rFonts w:ascii="宋体" w:eastAsia="宋体" w:hAnsi="宋体" w:cs="宋体"/>
          <w:b/>
          <w:bCs/>
          <w:color w:val="333333"/>
          <w:kern w:val="0"/>
          <w:sz w:val="24"/>
          <w:szCs w:val="24"/>
        </w:rPr>
      </w:pPr>
      <w:r w:rsidRPr="0056316D">
        <w:rPr>
          <w:rFonts w:ascii="华文仿宋" w:eastAsia="华文仿宋" w:hAnsi="华文仿宋" w:cs="宋体" w:hint="eastAsia"/>
          <w:b/>
          <w:bCs/>
          <w:color w:val="333333"/>
          <w:kern w:val="0"/>
          <w:sz w:val="28"/>
          <w:szCs w:val="28"/>
        </w:rPr>
        <w:lastRenderedPageBreak/>
        <w:t xml:space="preserve">若因法律法规和政策调整，本优惠政策条款与之相抵触的或不一致的，以国家法律法规和政策为准。本优惠政策在实施过程中，对符合决策程序，没有为自己、他人和单位谋取私利，未与其他单位和个人恶意串通，损害公共利益和他人合法权益，因政策界限不明确、政策调整影响出现偏差等情况，可以依法依规容错免责。本优惠政策所称“以上”包括本数，“以下”不包括本数。本优惠政策自印发之日起生效，原邱办[2014]25号文件、霍政办秘[2016]59文件同时废止。此前与我县正式签约的项目，按当时的优惠政策及协议约定条款兑现，新签约项目按此优惠政策执行。本优惠政策由县招商局负责解释。 </w:t>
      </w:r>
    </w:p>
    <w:p w:rsidR="0056316D" w:rsidRPr="0056316D" w:rsidRDefault="0056316D" w:rsidP="0056316D">
      <w:pPr>
        <w:widowControl/>
        <w:shd w:val="clear" w:color="auto" w:fill="FFFFFF"/>
        <w:spacing w:line="528" w:lineRule="auto"/>
        <w:jc w:val="left"/>
        <w:rPr>
          <w:rFonts w:ascii="微软雅黑" w:eastAsia="微软雅黑" w:hAnsi="微软雅黑" w:cs="宋体"/>
          <w:b/>
          <w:bCs/>
          <w:color w:val="333333"/>
          <w:kern w:val="0"/>
          <w:sz w:val="24"/>
          <w:szCs w:val="24"/>
        </w:rPr>
      </w:pPr>
      <w:r w:rsidRPr="0056316D">
        <w:rPr>
          <w:rFonts w:ascii="华文仿宋" w:eastAsia="华文仿宋" w:hAnsi="华文仿宋" w:cs="宋体" w:hint="eastAsia"/>
          <w:b/>
          <w:bCs/>
          <w:color w:val="444444"/>
          <w:kern w:val="0"/>
          <w:sz w:val="28"/>
          <w:szCs w:val="28"/>
        </w:rPr>
        <w:t> 四、解释部门和咨询电话</w:t>
      </w:r>
      <w:r w:rsidRPr="0056316D">
        <w:rPr>
          <w:rFonts w:ascii="微软雅黑" w:eastAsia="微软雅黑" w:hAnsi="微软雅黑" w:cs="宋体" w:hint="eastAsia"/>
          <w:b/>
          <w:bCs/>
          <w:color w:val="333333"/>
          <w:kern w:val="0"/>
          <w:sz w:val="24"/>
          <w:szCs w:val="24"/>
        </w:rPr>
        <w:t xml:space="preserve"> </w:t>
      </w:r>
    </w:p>
    <w:p w:rsidR="0056316D" w:rsidRPr="0056316D" w:rsidRDefault="0056316D" w:rsidP="0056316D">
      <w:pPr>
        <w:widowControl/>
        <w:shd w:val="clear" w:color="auto" w:fill="FFFFFF"/>
        <w:spacing w:line="528" w:lineRule="auto"/>
        <w:jc w:val="left"/>
        <w:rPr>
          <w:rFonts w:ascii="微软雅黑" w:eastAsia="微软雅黑" w:hAnsi="微软雅黑" w:cs="宋体" w:hint="eastAsia"/>
          <w:b/>
          <w:bCs/>
          <w:color w:val="333333"/>
          <w:kern w:val="0"/>
          <w:sz w:val="24"/>
          <w:szCs w:val="24"/>
        </w:rPr>
      </w:pPr>
      <w:r w:rsidRPr="0056316D">
        <w:rPr>
          <w:rFonts w:ascii="华文仿宋" w:eastAsia="华文仿宋" w:hAnsi="华文仿宋" w:cs="宋体" w:hint="eastAsia"/>
          <w:b/>
          <w:bCs/>
          <w:color w:val="444444"/>
          <w:kern w:val="0"/>
          <w:sz w:val="28"/>
          <w:szCs w:val="28"/>
        </w:rPr>
        <w:t>    本办法由县招商局局负责解释。</w:t>
      </w:r>
      <w:r w:rsidRPr="0056316D">
        <w:rPr>
          <w:rFonts w:ascii="微软雅黑" w:eastAsia="微软雅黑" w:hAnsi="微软雅黑" w:cs="宋体" w:hint="eastAsia"/>
          <w:b/>
          <w:bCs/>
          <w:color w:val="333333"/>
          <w:kern w:val="0"/>
          <w:sz w:val="24"/>
          <w:szCs w:val="24"/>
        </w:rPr>
        <w:t xml:space="preserve"> </w:t>
      </w:r>
    </w:p>
    <w:p w:rsidR="0056316D" w:rsidRPr="0056316D" w:rsidRDefault="0056316D" w:rsidP="0056316D">
      <w:pPr>
        <w:widowControl/>
        <w:shd w:val="clear" w:color="auto" w:fill="FFFFFF"/>
        <w:spacing w:line="528" w:lineRule="auto"/>
        <w:jc w:val="left"/>
        <w:rPr>
          <w:rFonts w:ascii="微软雅黑" w:eastAsia="微软雅黑" w:hAnsi="微软雅黑" w:cs="宋体" w:hint="eastAsia"/>
          <w:b/>
          <w:bCs/>
          <w:color w:val="333333"/>
          <w:kern w:val="0"/>
          <w:sz w:val="24"/>
          <w:szCs w:val="24"/>
        </w:rPr>
      </w:pPr>
      <w:r w:rsidRPr="0056316D">
        <w:rPr>
          <w:rFonts w:ascii="华文仿宋" w:eastAsia="华文仿宋" w:hAnsi="华文仿宋" w:cs="宋体" w:hint="eastAsia"/>
          <w:b/>
          <w:bCs/>
          <w:color w:val="444444"/>
          <w:kern w:val="0"/>
          <w:sz w:val="28"/>
          <w:szCs w:val="28"/>
        </w:rPr>
        <w:t>    咨询电话0564-6080255；</w:t>
      </w:r>
      <w:r w:rsidRPr="0056316D">
        <w:rPr>
          <w:rFonts w:ascii="微软雅黑" w:eastAsia="微软雅黑" w:hAnsi="微软雅黑" w:cs="宋体" w:hint="eastAsia"/>
          <w:b/>
          <w:bCs/>
          <w:color w:val="333333"/>
          <w:kern w:val="0"/>
          <w:sz w:val="24"/>
          <w:szCs w:val="24"/>
        </w:rPr>
        <w:t xml:space="preserve"> </w:t>
      </w:r>
    </w:p>
    <w:p w:rsidR="00C25870" w:rsidRDefault="00C25870"/>
    <w:sectPr w:rsidR="00C258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4BA" w:rsidRDefault="00FA44BA" w:rsidP="0056316D">
      <w:r>
        <w:separator/>
      </w:r>
    </w:p>
  </w:endnote>
  <w:endnote w:type="continuationSeparator" w:id="0">
    <w:p w:rsidR="00FA44BA" w:rsidRDefault="00FA44BA" w:rsidP="0056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4BA" w:rsidRDefault="00FA44BA" w:rsidP="0056316D">
      <w:r>
        <w:separator/>
      </w:r>
    </w:p>
  </w:footnote>
  <w:footnote w:type="continuationSeparator" w:id="0">
    <w:p w:rsidR="00FA44BA" w:rsidRDefault="00FA44BA" w:rsidP="00563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396"/>
    <w:rsid w:val="000F1396"/>
    <w:rsid w:val="0056316D"/>
    <w:rsid w:val="00C25870"/>
    <w:rsid w:val="00FA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EAC0C-67F2-4E4E-B4AD-A31F3ADD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56316D"/>
    <w:pPr>
      <w:widowControl/>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31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316D"/>
    <w:rPr>
      <w:sz w:val="18"/>
      <w:szCs w:val="18"/>
    </w:rPr>
  </w:style>
  <w:style w:type="paragraph" w:styleId="a4">
    <w:name w:val="footer"/>
    <w:basedOn w:val="a"/>
    <w:link w:val="Char0"/>
    <w:uiPriority w:val="99"/>
    <w:unhideWhenUsed/>
    <w:rsid w:val="0056316D"/>
    <w:pPr>
      <w:tabs>
        <w:tab w:val="center" w:pos="4153"/>
        <w:tab w:val="right" w:pos="8306"/>
      </w:tabs>
      <w:snapToGrid w:val="0"/>
      <w:jc w:val="left"/>
    </w:pPr>
    <w:rPr>
      <w:sz w:val="18"/>
      <w:szCs w:val="18"/>
    </w:rPr>
  </w:style>
  <w:style w:type="character" w:customStyle="1" w:styleId="Char0">
    <w:name w:val="页脚 Char"/>
    <w:basedOn w:val="a0"/>
    <w:link w:val="a4"/>
    <w:uiPriority w:val="99"/>
    <w:rsid w:val="0056316D"/>
    <w:rPr>
      <w:sz w:val="18"/>
      <w:szCs w:val="18"/>
    </w:rPr>
  </w:style>
  <w:style w:type="character" w:customStyle="1" w:styleId="1Char">
    <w:name w:val="标题 1 Char"/>
    <w:basedOn w:val="a0"/>
    <w:link w:val="1"/>
    <w:uiPriority w:val="9"/>
    <w:rsid w:val="0056316D"/>
    <w:rPr>
      <w:rFonts w:ascii="宋体" w:eastAsia="宋体" w:hAnsi="宋体" w:cs="宋体"/>
      <w:kern w:val="36"/>
      <w:sz w:val="30"/>
      <w:szCs w:val="30"/>
    </w:rPr>
  </w:style>
  <w:style w:type="paragraph" w:styleId="a5">
    <w:name w:val="Normal (Web)"/>
    <w:basedOn w:val="a"/>
    <w:uiPriority w:val="99"/>
    <w:semiHidden/>
    <w:unhideWhenUsed/>
    <w:rsid w:val="0056316D"/>
    <w:pPr>
      <w:widowControl/>
      <w:jc w:val="left"/>
    </w:pPr>
    <w:rPr>
      <w:rFonts w:ascii="宋体" w:eastAsia="宋体" w:hAnsi="宋体" w:cs="宋体"/>
      <w:kern w:val="0"/>
      <w:sz w:val="24"/>
      <w:szCs w:val="24"/>
    </w:rPr>
  </w:style>
  <w:style w:type="character" w:customStyle="1" w:styleId="fontsize">
    <w:name w:val="fontsize"/>
    <w:basedOn w:val="a0"/>
    <w:rsid w:val="0056316D"/>
  </w:style>
  <w:style w:type="paragraph" w:styleId="HTML">
    <w:name w:val="HTML Preformatted"/>
    <w:basedOn w:val="a"/>
    <w:link w:val="HTMLChar"/>
    <w:uiPriority w:val="99"/>
    <w:semiHidden/>
    <w:unhideWhenUsed/>
    <w:rsid w:val="00563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56316D"/>
    <w:rPr>
      <w:rFonts w:ascii="宋体" w:eastAsia="宋体" w:hAnsi="宋体" w:cs="宋体"/>
      <w:kern w:val="0"/>
      <w:sz w:val="24"/>
      <w:szCs w:val="24"/>
    </w:rPr>
  </w:style>
  <w:style w:type="character" w:customStyle="1" w:styleId="apple-converted-space">
    <w:name w:val="apple-converted-space"/>
    <w:basedOn w:val="a0"/>
    <w:rsid w:val="0056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559">
      <w:bodyDiv w:val="1"/>
      <w:marLeft w:val="0"/>
      <w:marRight w:val="0"/>
      <w:marTop w:val="0"/>
      <w:marBottom w:val="0"/>
      <w:divBdr>
        <w:top w:val="none" w:sz="0" w:space="0" w:color="auto"/>
        <w:left w:val="none" w:sz="0" w:space="0" w:color="auto"/>
        <w:bottom w:val="none" w:sz="0" w:space="0" w:color="auto"/>
        <w:right w:val="none" w:sz="0" w:space="0" w:color="auto"/>
      </w:divBdr>
      <w:divsChild>
        <w:div w:id="1413817917">
          <w:marLeft w:val="0"/>
          <w:marRight w:val="0"/>
          <w:marTop w:val="0"/>
          <w:marBottom w:val="0"/>
          <w:divBdr>
            <w:top w:val="none" w:sz="0" w:space="0" w:color="auto"/>
            <w:left w:val="none" w:sz="0" w:space="0" w:color="auto"/>
            <w:bottom w:val="none" w:sz="0" w:space="0" w:color="auto"/>
            <w:right w:val="none" w:sz="0" w:space="0" w:color="auto"/>
          </w:divBdr>
          <w:divsChild>
            <w:div w:id="405956671">
              <w:marLeft w:val="0"/>
              <w:marRight w:val="0"/>
              <w:marTop w:val="300"/>
              <w:marBottom w:val="0"/>
              <w:divBdr>
                <w:top w:val="none" w:sz="0" w:space="0" w:color="auto"/>
                <w:left w:val="none" w:sz="0" w:space="0" w:color="auto"/>
                <w:bottom w:val="none" w:sz="0" w:space="0" w:color="auto"/>
                <w:right w:val="none" w:sz="0" w:space="0" w:color="auto"/>
              </w:divBdr>
              <w:divsChild>
                <w:div w:id="1188178657">
                  <w:marLeft w:val="0"/>
                  <w:marRight w:val="0"/>
                  <w:marTop w:val="0"/>
                  <w:marBottom w:val="0"/>
                  <w:divBdr>
                    <w:top w:val="none" w:sz="0" w:space="0" w:color="auto"/>
                    <w:left w:val="none" w:sz="0" w:space="0" w:color="auto"/>
                    <w:bottom w:val="none" w:sz="0" w:space="0" w:color="auto"/>
                    <w:right w:val="none" w:sz="0" w:space="0" w:color="auto"/>
                  </w:divBdr>
                  <w:divsChild>
                    <w:div w:id="989213398">
                      <w:marLeft w:val="0"/>
                      <w:marRight w:val="0"/>
                      <w:marTop w:val="0"/>
                      <w:marBottom w:val="0"/>
                      <w:divBdr>
                        <w:top w:val="none" w:sz="0" w:space="0" w:color="auto"/>
                        <w:left w:val="none" w:sz="0" w:space="0" w:color="auto"/>
                        <w:bottom w:val="none" w:sz="0" w:space="0" w:color="auto"/>
                        <w:right w:val="none" w:sz="0" w:space="0" w:color="auto"/>
                      </w:divBdr>
                      <w:divsChild>
                        <w:div w:id="2041861161">
                          <w:marLeft w:val="0"/>
                          <w:marRight w:val="0"/>
                          <w:marTop w:val="0"/>
                          <w:marBottom w:val="0"/>
                          <w:divBdr>
                            <w:top w:val="none" w:sz="0" w:space="0" w:color="auto"/>
                            <w:left w:val="none" w:sz="0" w:space="0" w:color="auto"/>
                            <w:bottom w:val="none" w:sz="0" w:space="0" w:color="auto"/>
                            <w:right w:val="none" w:sz="0" w:space="0" w:color="auto"/>
                          </w:divBdr>
                          <w:divsChild>
                            <w:div w:id="1614047069">
                              <w:marLeft w:val="0"/>
                              <w:marRight w:val="0"/>
                              <w:marTop w:val="0"/>
                              <w:marBottom w:val="0"/>
                              <w:divBdr>
                                <w:top w:val="none" w:sz="0" w:space="0" w:color="auto"/>
                                <w:left w:val="none" w:sz="0" w:space="0" w:color="auto"/>
                                <w:bottom w:val="none" w:sz="0" w:space="0" w:color="auto"/>
                                <w:right w:val="none" w:sz="0" w:space="0" w:color="auto"/>
                              </w:divBdr>
                              <w:divsChild>
                                <w:div w:id="21100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434</Words>
  <Characters>2475</Characters>
  <Application>Microsoft Office Word</Application>
  <DocSecurity>0</DocSecurity>
  <Lines>20</Lines>
  <Paragraphs>5</Paragraphs>
  <ScaleCrop>false</ScaleCrop>
  <Company>微软中国</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2018-10-11T03:10:00Z</dcterms:created>
  <dcterms:modified xsi:type="dcterms:W3CDTF">2018-10-11T03:10:00Z</dcterms:modified>
</cp:coreProperties>
</file>