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60" w:type="dxa"/>
        <w:tblCellSpacing w:w="25" w:type="dxa"/>
        <w:tblCellMar>
          <w:left w:w="0" w:type="dxa"/>
          <w:right w:w="0" w:type="dxa"/>
        </w:tblCellMar>
        <w:tblLook w:val="04A0" w:firstRow="1" w:lastRow="0" w:firstColumn="1" w:lastColumn="0" w:noHBand="0" w:noVBand="1"/>
      </w:tblPr>
      <w:tblGrid>
        <w:gridCol w:w="9160"/>
      </w:tblGrid>
      <w:tr w:rsidR="00645DC8" w:rsidRPr="00645DC8" w:rsidTr="00645DC8">
        <w:trPr>
          <w:tblCellSpacing w:w="25" w:type="dxa"/>
        </w:trPr>
        <w:tc>
          <w:tcPr>
            <w:tcW w:w="0" w:type="auto"/>
            <w:vAlign w:val="center"/>
            <w:hideMark/>
          </w:tcPr>
          <w:p w:rsidR="00645DC8" w:rsidRPr="00645DC8" w:rsidRDefault="00645DC8" w:rsidP="00645DC8">
            <w:pPr>
              <w:widowControl/>
              <w:spacing w:line="360" w:lineRule="atLeast"/>
              <w:jc w:val="center"/>
              <w:rPr>
                <w:rFonts w:ascii="Verdana, Geneva, sans-serif" w:eastAsia="宋体" w:hAnsi="Verdana, Geneva, sans-serif" w:cs="宋体"/>
                <w:b/>
                <w:bCs/>
                <w:color w:val="333333"/>
                <w:kern w:val="0"/>
                <w:sz w:val="24"/>
                <w:szCs w:val="24"/>
              </w:rPr>
            </w:pPr>
            <w:r w:rsidRPr="00645DC8">
              <w:rPr>
                <w:rFonts w:ascii="Verdana, Geneva, sans-serif" w:eastAsia="宋体" w:hAnsi="Verdana, Geneva, sans-serif" w:cs="宋体"/>
                <w:b/>
                <w:bCs/>
                <w:color w:val="333333"/>
                <w:kern w:val="0"/>
                <w:sz w:val="24"/>
                <w:szCs w:val="24"/>
              </w:rPr>
              <w:t>关于印发《泰安市企业技术中心认定管理办法》</w:t>
            </w:r>
          </w:p>
        </w:tc>
      </w:tr>
      <w:tr w:rsidR="00645DC8" w:rsidRPr="00645DC8" w:rsidTr="00645DC8">
        <w:trPr>
          <w:tblCellSpacing w:w="25"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60"/>
            </w:tblGrid>
            <w:tr w:rsidR="00645DC8" w:rsidRPr="00645DC8">
              <w:trPr>
                <w:trHeight w:val="300"/>
                <w:tblCellSpacing w:w="0" w:type="dxa"/>
              </w:trPr>
              <w:tc>
                <w:tcPr>
                  <w:tcW w:w="0" w:type="auto"/>
                  <w:vAlign w:val="center"/>
                  <w:hideMark/>
                </w:tcPr>
                <w:p w:rsidR="00645DC8" w:rsidRPr="00645DC8" w:rsidRDefault="00645DC8" w:rsidP="00645DC8">
                  <w:pPr>
                    <w:widowControl/>
                    <w:spacing w:line="306" w:lineRule="atLeast"/>
                    <w:jc w:val="center"/>
                    <w:rPr>
                      <w:rFonts w:ascii="Verdana, Geneva, sans-serif" w:eastAsia="宋体" w:hAnsi="Verdana, Geneva, sans-serif" w:cs="宋体"/>
                      <w:kern w:val="0"/>
                      <w:sz w:val="18"/>
                      <w:szCs w:val="18"/>
                    </w:rPr>
                  </w:pPr>
                  <w:r w:rsidRPr="00645DC8">
                    <w:rPr>
                      <w:rFonts w:ascii="Verdana, Geneva, sans-serif" w:eastAsia="宋体" w:hAnsi="Verdana, Geneva, sans-serif" w:cs="宋体"/>
                      <w:kern w:val="0"/>
                      <w:sz w:val="18"/>
                      <w:szCs w:val="18"/>
                    </w:rPr>
                    <w:t>作者：信息录入</w:t>
                  </w:r>
                  <w:r w:rsidRPr="00645DC8">
                    <w:rPr>
                      <w:rFonts w:ascii="Verdana, Geneva, sans-serif" w:eastAsia="宋体" w:hAnsi="Verdana, Geneva, sans-serif" w:cs="宋体"/>
                      <w:kern w:val="0"/>
                      <w:sz w:val="18"/>
                      <w:szCs w:val="18"/>
                    </w:rPr>
                    <w:t>     </w:t>
                  </w:r>
                  <w:r w:rsidRPr="00645DC8">
                    <w:rPr>
                      <w:rFonts w:ascii="Verdana, Geneva, sans-serif" w:eastAsia="宋体" w:hAnsi="Verdana, Geneva, sans-serif" w:cs="宋体"/>
                      <w:kern w:val="0"/>
                      <w:sz w:val="18"/>
                      <w:szCs w:val="18"/>
                    </w:rPr>
                    <w:t>点击次数：</w:t>
                  </w:r>
                  <w:r w:rsidRPr="00645DC8">
                    <w:rPr>
                      <w:rFonts w:ascii="Verdana, Geneva, sans-serif" w:eastAsia="宋体" w:hAnsi="Verdana, Geneva, sans-serif" w:cs="宋体"/>
                      <w:kern w:val="0"/>
                      <w:sz w:val="18"/>
                      <w:szCs w:val="18"/>
                    </w:rPr>
                    <w:t>1480</w:t>
                  </w:r>
                </w:p>
              </w:tc>
            </w:tr>
            <w:tr w:rsidR="00645DC8" w:rsidRPr="00645DC8">
              <w:trPr>
                <w:tblCellSpacing w:w="0" w:type="dxa"/>
              </w:trPr>
              <w:tc>
                <w:tcPr>
                  <w:tcW w:w="5000" w:type="pct"/>
                  <w:vAlign w:val="center"/>
                  <w:hideMark/>
                </w:tcPr>
                <w:p w:rsidR="00645DC8" w:rsidRPr="00645DC8" w:rsidRDefault="00645DC8" w:rsidP="00645DC8">
                  <w:pPr>
                    <w:widowControl/>
                    <w:spacing w:line="306" w:lineRule="atLeast"/>
                    <w:jc w:val="left"/>
                    <w:rPr>
                      <w:rFonts w:ascii="Verdana, Geneva, sans-serif" w:eastAsia="宋体" w:hAnsi="Verdana, Geneva, sans-serif" w:cs="宋体"/>
                      <w:kern w:val="0"/>
                      <w:sz w:val="18"/>
                      <w:szCs w:val="18"/>
                    </w:rPr>
                  </w:pPr>
                  <w:r w:rsidRPr="00645DC8">
                    <w:rPr>
                      <w:rFonts w:ascii="Verdana, Geneva, sans-serif" w:eastAsia="宋体" w:hAnsi="Verdana, Geneva, sans-serif" w:cs="宋体" w:hint="eastAsia"/>
                      <w:noProof/>
                      <w:kern w:val="0"/>
                      <w:sz w:val="18"/>
                      <w:szCs w:val="18"/>
                    </w:rPr>
                    <w:drawing>
                      <wp:inline distT="0" distB="0" distL="0" distR="0">
                        <wp:extent cx="1790700" cy="6350"/>
                        <wp:effectExtent l="0" t="0" r="0" b="0"/>
                        <wp:docPr id="1" name="图片 1" descr="http://www.taetn.gov.cn/images/h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etn.gov.cn/images/hx.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0700" cy="6350"/>
                                </a:xfrm>
                                <a:prstGeom prst="rect">
                                  <a:avLst/>
                                </a:prstGeom>
                                <a:noFill/>
                                <a:ln>
                                  <a:noFill/>
                                </a:ln>
                              </pic:spPr>
                            </pic:pic>
                          </a:graphicData>
                        </a:graphic>
                      </wp:inline>
                    </w:drawing>
                  </w:r>
                </w:p>
              </w:tc>
            </w:tr>
          </w:tbl>
          <w:p w:rsidR="00645DC8" w:rsidRPr="00645DC8" w:rsidRDefault="00645DC8" w:rsidP="00645DC8">
            <w:pPr>
              <w:widowControl/>
              <w:spacing w:line="306" w:lineRule="atLeast"/>
              <w:jc w:val="left"/>
              <w:rPr>
                <w:rFonts w:ascii="Verdana, Geneva, sans-serif" w:eastAsia="宋体" w:hAnsi="Verdana, Geneva, sans-serif" w:cs="宋体"/>
                <w:kern w:val="0"/>
                <w:sz w:val="18"/>
                <w:szCs w:val="18"/>
              </w:rPr>
            </w:pPr>
          </w:p>
        </w:tc>
      </w:tr>
      <w:tr w:rsidR="00645DC8" w:rsidRPr="00645DC8" w:rsidTr="00645DC8">
        <w:trPr>
          <w:tblCellSpacing w:w="25" w:type="dxa"/>
        </w:trPr>
        <w:tc>
          <w:tcPr>
            <w:tcW w:w="0" w:type="auto"/>
            <w:hideMark/>
          </w:tcPr>
          <w:p w:rsidR="00645DC8" w:rsidRPr="00645DC8" w:rsidRDefault="00645DC8" w:rsidP="00645DC8">
            <w:pPr>
              <w:widowControl/>
              <w:spacing w:line="400" w:lineRule="atLeast"/>
              <w:ind w:firstLine="240"/>
              <w:jc w:val="center"/>
              <w:rPr>
                <w:rFonts w:ascii="宋体" w:eastAsia="宋体" w:hAnsi="宋体" w:cs="宋体"/>
                <w:kern w:val="0"/>
                <w:sz w:val="24"/>
                <w:szCs w:val="24"/>
              </w:rPr>
            </w:pPr>
            <w:r w:rsidRPr="00645DC8">
              <w:rPr>
                <w:rFonts w:ascii="宋体" w:eastAsia="宋体" w:hAnsi="宋体" w:cs="宋体"/>
                <w:kern w:val="0"/>
                <w:sz w:val="24"/>
                <w:szCs w:val="24"/>
              </w:rPr>
              <w:t> </w:t>
            </w:r>
          </w:p>
          <w:p w:rsidR="00645DC8" w:rsidRPr="00645DC8" w:rsidRDefault="00645DC8" w:rsidP="00645DC8">
            <w:pPr>
              <w:widowControl/>
              <w:spacing w:line="400" w:lineRule="atLeast"/>
              <w:ind w:firstLine="240"/>
              <w:jc w:val="center"/>
              <w:rPr>
                <w:rFonts w:ascii="宋体" w:eastAsia="宋体" w:hAnsi="宋体" w:cs="宋体"/>
                <w:kern w:val="0"/>
                <w:sz w:val="24"/>
                <w:szCs w:val="24"/>
              </w:rPr>
            </w:pPr>
            <w:r w:rsidRPr="00645DC8">
              <w:rPr>
                <w:rFonts w:ascii="宋体" w:eastAsia="宋体" w:hAnsi="宋体" w:cs="宋体"/>
                <w:kern w:val="0"/>
                <w:sz w:val="24"/>
                <w:szCs w:val="24"/>
              </w:rPr>
              <w:t> </w:t>
            </w:r>
          </w:p>
          <w:p w:rsidR="00645DC8" w:rsidRPr="00645DC8" w:rsidRDefault="00645DC8" w:rsidP="00645DC8">
            <w:pPr>
              <w:widowControl/>
              <w:spacing w:line="400" w:lineRule="atLeast"/>
              <w:ind w:firstLine="240"/>
              <w:jc w:val="center"/>
              <w:rPr>
                <w:rFonts w:ascii="宋体" w:eastAsia="宋体" w:hAnsi="宋体" w:cs="宋体"/>
                <w:kern w:val="0"/>
                <w:sz w:val="24"/>
                <w:szCs w:val="24"/>
              </w:rPr>
            </w:pPr>
            <w:r w:rsidRPr="00645DC8">
              <w:rPr>
                <w:rFonts w:ascii="宋体" w:eastAsia="宋体" w:hAnsi="宋体" w:cs="宋体" w:hint="eastAsia"/>
                <w:kern w:val="0"/>
                <w:sz w:val="36"/>
                <w:szCs w:val="36"/>
              </w:rPr>
              <w:t>关于印发《泰安市企业技术中心认定管理办法》</w:t>
            </w:r>
            <w:bookmarkStart w:id="0" w:name="_GoBack"/>
            <w:bookmarkEnd w:id="0"/>
          </w:p>
          <w:p w:rsidR="00645DC8" w:rsidRPr="00645DC8" w:rsidRDefault="00645DC8" w:rsidP="00645DC8">
            <w:pPr>
              <w:widowControl/>
              <w:spacing w:line="400" w:lineRule="atLeast"/>
              <w:ind w:firstLine="240"/>
              <w:jc w:val="center"/>
              <w:rPr>
                <w:rFonts w:ascii="宋体" w:eastAsia="宋体" w:hAnsi="宋体" w:cs="宋体"/>
                <w:kern w:val="0"/>
                <w:sz w:val="24"/>
                <w:szCs w:val="24"/>
              </w:rPr>
            </w:pPr>
            <w:r w:rsidRPr="00645DC8">
              <w:rPr>
                <w:rFonts w:ascii="宋体" w:eastAsia="宋体" w:hAnsi="宋体" w:cs="宋体"/>
                <w:kern w:val="0"/>
                <w:sz w:val="24"/>
                <w:szCs w:val="24"/>
              </w:rPr>
              <w:t> </w:t>
            </w:r>
          </w:p>
          <w:p w:rsidR="00645DC8" w:rsidRPr="00645DC8" w:rsidRDefault="00645DC8" w:rsidP="00645DC8">
            <w:pPr>
              <w:widowControl/>
              <w:spacing w:line="400" w:lineRule="atLeast"/>
              <w:ind w:firstLine="240"/>
              <w:jc w:val="center"/>
              <w:rPr>
                <w:rFonts w:ascii="宋体" w:eastAsia="宋体" w:hAnsi="宋体" w:cs="宋体"/>
                <w:kern w:val="0"/>
                <w:sz w:val="24"/>
                <w:szCs w:val="24"/>
              </w:rPr>
            </w:pPr>
            <w:proofErr w:type="gramStart"/>
            <w:r w:rsidRPr="00645DC8">
              <w:rPr>
                <w:rFonts w:ascii="宋体" w:eastAsia="宋体" w:hAnsi="宋体" w:cs="宋体" w:hint="eastAsia"/>
                <w:kern w:val="0"/>
                <w:sz w:val="24"/>
                <w:szCs w:val="24"/>
              </w:rPr>
              <w:t>泰经信字</w:t>
            </w:r>
            <w:proofErr w:type="gramEnd"/>
            <w:r w:rsidRPr="00645DC8">
              <w:rPr>
                <w:rFonts w:ascii="宋体" w:eastAsia="宋体" w:hAnsi="宋体" w:cs="宋体" w:hint="eastAsia"/>
                <w:kern w:val="0"/>
                <w:sz w:val="24"/>
                <w:szCs w:val="24"/>
              </w:rPr>
              <w:t>[2017]113号</w:t>
            </w:r>
          </w:p>
          <w:p w:rsidR="00645DC8" w:rsidRPr="00645DC8" w:rsidRDefault="00645DC8" w:rsidP="00645DC8">
            <w:pPr>
              <w:widowControl/>
              <w:spacing w:line="400" w:lineRule="atLeast"/>
              <w:ind w:firstLine="240"/>
              <w:jc w:val="left"/>
              <w:rPr>
                <w:rFonts w:ascii="宋体" w:eastAsia="宋体" w:hAnsi="宋体" w:cs="宋体"/>
                <w:kern w:val="0"/>
                <w:sz w:val="24"/>
                <w:szCs w:val="24"/>
              </w:rPr>
            </w:pPr>
            <w:r w:rsidRPr="00645DC8">
              <w:rPr>
                <w:rFonts w:ascii="宋体" w:eastAsia="宋体" w:hAnsi="宋体" w:cs="宋体" w:hint="eastAsia"/>
                <w:kern w:val="0"/>
                <w:sz w:val="24"/>
                <w:szCs w:val="24"/>
              </w:rPr>
              <w:t>各县（市、区）经信局，泰安高新区经发局，有关企业：</w:t>
            </w:r>
          </w:p>
          <w:p w:rsidR="00645DC8" w:rsidRPr="00645DC8" w:rsidRDefault="00645DC8" w:rsidP="00645DC8">
            <w:pPr>
              <w:widowControl/>
              <w:spacing w:line="400" w:lineRule="atLeast"/>
              <w:ind w:firstLine="645"/>
              <w:jc w:val="left"/>
              <w:rPr>
                <w:rFonts w:ascii="宋体" w:eastAsia="宋体" w:hAnsi="宋体" w:cs="宋体"/>
                <w:kern w:val="0"/>
                <w:sz w:val="24"/>
                <w:szCs w:val="24"/>
              </w:rPr>
            </w:pPr>
            <w:r w:rsidRPr="00645DC8">
              <w:rPr>
                <w:rFonts w:ascii="宋体" w:eastAsia="宋体" w:hAnsi="宋体" w:cs="宋体" w:hint="eastAsia"/>
                <w:kern w:val="0"/>
                <w:sz w:val="24"/>
                <w:szCs w:val="24"/>
              </w:rPr>
              <w:t>为加快全市企业技术创新体系建设，提升我市企业技术中心建设水平，根据国家、省有关政策文件及要求，市</w:t>
            </w:r>
            <w:proofErr w:type="gramStart"/>
            <w:r w:rsidRPr="00645DC8">
              <w:rPr>
                <w:rFonts w:ascii="宋体" w:eastAsia="宋体" w:hAnsi="宋体" w:cs="宋体" w:hint="eastAsia"/>
                <w:kern w:val="0"/>
                <w:sz w:val="24"/>
                <w:szCs w:val="24"/>
              </w:rPr>
              <w:t>经信委制定</w:t>
            </w:r>
            <w:proofErr w:type="gramEnd"/>
            <w:r w:rsidRPr="00645DC8">
              <w:rPr>
                <w:rFonts w:ascii="宋体" w:eastAsia="宋体" w:hAnsi="宋体" w:cs="宋体" w:hint="eastAsia"/>
                <w:kern w:val="0"/>
                <w:sz w:val="24"/>
                <w:szCs w:val="24"/>
              </w:rPr>
              <w:t>了《泰安市企业技术中心认定管理办法》，现印发给你们，请遵照执行。</w:t>
            </w:r>
          </w:p>
          <w:p w:rsidR="00645DC8" w:rsidRPr="00645DC8" w:rsidRDefault="00645DC8" w:rsidP="00645DC8">
            <w:pPr>
              <w:widowControl/>
              <w:spacing w:line="400" w:lineRule="atLeast"/>
              <w:ind w:firstLine="645"/>
              <w:jc w:val="left"/>
              <w:rPr>
                <w:rFonts w:ascii="宋体" w:eastAsia="宋体" w:hAnsi="宋体" w:cs="宋体"/>
                <w:kern w:val="0"/>
                <w:sz w:val="24"/>
                <w:szCs w:val="24"/>
              </w:rPr>
            </w:pPr>
            <w:r w:rsidRPr="00645DC8">
              <w:rPr>
                <w:rFonts w:ascii="宋体" w:eastAsia="宋体" w:hAnsi="宋体" w:cs="宋体" w:hint="eastAsia"/>
                <w:kern w:val="0"/>
                <w:sz w:val="24"/>
                <w:szCs w:val="24"/>
              </w:rPr>
              <w:t> </w:t>
            </w:r>
          </w:p>
          <w:p w:rsidR="00645DC8" w:rsidRPr="00645DC8" w:rsidRDefault="00645DC8" w:rsidP="00645DC8">
            <w:pPr>
              <w:widowControl/>
              <w:spacing w:line="400" w:lineRule="atLeast"/>
              <w:ind w:firstLine="645"/>
              <w:jc w:val="right"/>
              <w:rPr>
                <w:rFonts w:ascii="宋体" w:eastAsia="宋体" w:hAnsi="宋体" w:cs="宋体"/>
                <w:kern w:val="0"/>
                <w:sz w:val="24"/>
                <w:szCs w:val="24"/>
              </w:rPr>
            </w:pPr>
            <w:r w:rsidRPr="00645DC8">
              <w:rPr>
                <w:rFonts w:ascii="宋体" w:eastAsia="宋体" w:hAnsi="宋体" w:cs="宋体" w:hint="eastAsia"/>
                <w:kern w:val="0"/>
                <w:sz w:val="24"/>
                <w:szCs w:val="24"/>
              </w:rPr>
              <w:t>2017年5月15日</w:t>
            </w:r>
          </w:p>
          <w:p w:rsidR="00645DC8" w:rsidRPr="00645DC8" w:rsidRDefault="00645DC8" w:rsidP="00645DC8">
            <w:pPr>
              <w:widowControl/>
              <w:spacing w:line="400" w:lineRule="atLeast"/>
              <w:ind w:firstLine="240"/>
              <w:jc w:val="center"/>
              <w:rPr>
                <w:rFonts w:ascii="宋体" w:eastAsia="宋体" w:hAnsi="宋体" w:cs="宋体"/>
                <w:kern w:val="0"/>
                <w:sz w:val="24"/>
                <w:szCs w:val="24"/>
              </w:rPr>
            </w:pPr>
            <w:r w:rsidRPr="00645DC8">
              <w:rPr>
                <w:rFonts w:ascii="宋体" w:eastAsia="宋体" w:hAnsi="宋体" w:cs="宋体" w:hint="eastAsia"/>
                <w:kern w:val="0"/>
                <w:sz w:val="24"/>
                <w:szCs w:val="24"/>
              </w:rPr>
              <w:t> </w:t>
            </w:r>
          </w:p>
          <w:p w:rsidR="00645DC8" w:rsidRPr="00645DC8" w:rsidRDefault="00645DC8" w:rsidP="00645DC8">
            <w:pPr>
              <w:widowControl/>
              <w:spacing w:line="400" w:lineRule="atLeast"/>
              <w:ind w:firstLine="240"/>
              <w:jc w:val="center"/>
              <w:rPr>
                <w:rFonts w:ascii="宋体" w:eastAsia="宋体" w:hAnsi="宋体" w:cs="宋体"/>
                <w:kern w:val="0"/>
                <w:sz w:val="24"/>
                <w:szCs w:val="24"/>
              </w:rPr>
            </w:pPr>
            <w:r w:rsidRPr="00645DC8">
              <w:rPr>
                <w:rFonts w:ascii="宋体" w:eastAsia="宋体" w:hAnsi="宋体" w:cs="宋体" w:hint="eastAsia"/>
                <w:kern w:val="0"/>
                <w:sz w:val="24"/>
                <w:szCs w:val="24"/>
              </w:rPr>
              <w:t>泰安市企业技术中心认定管理办法</w:t>
            </w:r>
          </w:p>
          <w:p w:rsidR="00645DC8" w:rsidRPr="00645DC8" w:rsidRDefault="00645DC8" w:rsidP="00645DC8">
            <w:pPr>
              <w:widowControl/>
              <w:spacing w:line="400" w:lineRule="atLeast"/>
              <w:ind w:firstLine="240"/>
              <w:jc w:val="center"/>
              <w:rPr>
                <w:rFonts w:ascii="宋体" w:eastAsia="宋体" w:hAnsi="宋体" w:cs="宋体"/>
                <w:kern w:val="0"/>
                <w:sz w:val="24"/>
                <w:szCs w:val="24"/>
              </w:rPr>
            </w:pPr>
            <w:r w:rsidRPr="00645DC8">
              <w:rPr>
                <w:rFonts w:ascii="宋体" w:eastAsia="宋体" w:hAnsi="宋体" w:cs="宋体" w:hint="eastAsia"/>
                <w:kern w:val="0"/>
                <w:sz w:val="24"/>
                <w:szCs w:val="24"/>
              </w:rPr>
              <w:t>第一章 总 则</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第一条 为深入实施创新驱动发展战略，贯彻落实市委、市政府出台的《中共泰安市委泰安市人民政府关于加快实施创新驱动发展战略的意见》(泰发〔2016〕6号),强化企业技术创新主体地位，引导和支持企业增强技术创新能力，提升全市企业技术中心建设水平，依据《中华人民共和国科学技术进步法》，参照《国家企业技术中心认定管理办法》、《山东省企业技术中心认定管理办法》，特制定本办法。</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第二条 本办法所称企业技术中心，是指企业根据市场竞争需要设立的技术研发与创新机构，负责制定企业技术创新规划、开展产业技术研发、创造运用知识产权、建立技术标准体系、凝聚培养创新人才、构建协同创新网络、推进技术创新全过程实施。</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第三条 鼓励和支持有条件的企业(集团)建立技术中心，发挥企业在技术创新中的主体作用，建立健全企业主导产业技术研发创新的体制机制。根据创新驱动发展要求和经济结构调整需要，对创新能力强、创新机制好、引领示范作用大、符合条件的企业技术中心予以认定，鼓励引导行业骨干企业带动产业技术进步和创新能力提高。</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第四条 市经济和信息化委负责泰安市企业技术中心（以下简称市级企业技术中心）的认定。各县（市、区）经济和信息化局、泰安高新区经济发展局负责市级企业技术中心的申报、管理等事项。</w:t>
            </w:r>
          </w:p>
          <w:p w:rsidR="00645DC8" w:rsidRPr="00645DC8" w:rsidRDefault="00645DC8" w:rsidP="00645DC8">
            <w:pPr>
              <w:widowControl/>
              <w:spacing w:line="400" w:lineRule="atLeast"/>
              <w:ind w:firstLine="240"/>
              <w:jc w:val="center"/>
              <w:rPr>
                <w:rFonts w:ascii="宋体" w:eastAsia="宋体" w:hAnsi="宋体" w:cs="宋体"/>
                <w:kern w:val="0"/>
                <w:sz w:val="24"/>
                <w:szCs w:val="24"/>
              </w:rPr>
            </w:pPr>
            <w:r w:rsidRPr="00645DC8">
              <w:rPr>
                <w:rFonts w:ascii="宋体" w:eastAsia="宋体" w:hAnsi="宋体" w:cs="宋体" w:hint="eastAsia"/>
                <w:kern w:val="0"/>
                <w:sz w:val="24"/>
                <w:szCs w:val="24"/>
              </w:rPr>
              <w:t>第二章市级企业技术中心认定</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lastRenderedPageBreak/>
              <w:t>第五条 市级企业技术中心的认定，原则上每年进行一次。各县（市、区）经济和信息化局、泰安高新区经济发展局按照市经济和信息化委通知要求报送申报材料。</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第六条 市级企业技术中心应当具备以下基本条件：</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（一）企业具有显著的发展优势和竞争优势，具有较强创新能力和较高创新水平；</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（二）企业决策层重视技术中心工作，具有良好的技术创新机制，企业技术中心组织体系健全，创新效率和效益显著；</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三）有较高的研究开发投入，年度研究与试验发展经费支出额原则上不低于主营业务收入3%（主营业务收入低于5000万元的企业，年度研究与试验发展经费支出额应不低于150万元）；拥有技术水平高、实践经验丰富的技术带头人，研究与试验发展人员数不少于30人；</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（四）具有比较完善的研究、开发、试验条件，技术开发仪器设备原值不低于300万元；有较好的技术积累，重视前沿技术开发，具有开展高水平技术创新活动的能力；</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企业在申请受理截止日期前三年内，不得存在下列情况：</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（一）因违反海关法及有关法律、行政法规，构成走私行为，受到刑事、行政处罚，或因严重违反海关监管规定受到行政处罚；</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（二）因违反税收征管法及有关法律、行政法规，构成偷税、骗取出口退税等严重税收违法行为；</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（三）司法、行政机关认定的其他严重违法失信行为。</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第七条 各县（市、区）经济和信息化局、泰安高新区经济发展局根据本办法及当年市经济和信息化委通知推荐符合条件的企业技术中心，并将推荐企业技术中心名单及其申请材料报送市经济和信息化委。申请材料主要包括企业技术中心申请报告、评价表及必要的证明材料。</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第八条 市经济和信息化委委托专家依据评价指标体系进行评审并择优确定认定企业并向社会公示。</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第九条 市经济和信息化委在接受申报材料之日起 60个工作日之内发文，向各县（市、区）经济和信息化局、泰安高新区经济发展局通报认定结果。</w:t>
            </w:r>
          </w:p>
          <w:p w:rsidR="00645DC8" w:rsidRPr="00645DC8" w:rsidRDefault="00645DC8" w:rsidP="00645DC8">
            <w:pPr>
              <w:widowControl/>
              <w:spacing w:line="400" w:lineRule="atLeast"/>
              <w:ind w:firstLine="240"/>
              <w:jc w:val="center"/>
              <w:rPr>
                <w:rFonts w:ascii="宋体" w:eastAsia="宋体" w:hAnsi="宋体" w:cs="宋体"/>
                <w:kern w:val="0"/>
                <w:sz w:val="24"/>
                <w:szCs w:val="24"/>
              </w:rPr>
            </w:pPr>
            <w:r w:rsidRPr="00645DC8">
              <w:rPr>
                <w:rFonts w:ascii="宋体" w:eastAsia="宋体" w:hAnsi="宋体" w:cs="宋体" w:hint="eastAsia"/>
                <w:kern w:val="0"/>
                <w:sz w:val="24"/>
                <w:szCs w:val="24"/>
              </w:rPr>
              <w:t>第三章 运行评价</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第十条 市经济和信息化委原则上每两年组织一次市级企业技术中心运行评价，并于评价年度下发评价通知。</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各有关企业按照通知要求，编写评价材料。评价材料主要包括市级企业技术中心工作总结、评价表及必要的证明材料，并出具评价材料真实性承诺书。</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lastRenderedPageBreak/>
              <w:t>各县（市、区）经济和信息化局、泰安高新区经济发展局对企业评价材料出具初审意见，并将初审意见及评价材料报送市经济和信息化委。</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第十一条 市经济和信息化委组织专家，依据评价指标体系及县市区初审意见，对各企业报送的评价材料进行评价，并形成评价结果。</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第十二条 评价结果分为优秀、良好、基本合格和不合格：</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（一）评价得分 90 分及以上为优秀；</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（二）评价得分 65 分至 90 分（不含 90 分）为良好；</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（三）评价得分 60 分至 65 分（不含 65 分）为基本合格；</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（四）评价得分低于 60 分为不合格。</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第十三条 市经济和信息化委在受理评价材料之日起60 </w:t>
            </w:r>
            <w:proofErr w:type="gramStart"/>
            <w:r w:rsidRPr="00645DC8">
              <w:rPr>
                <w:rFonts w:ascii="宋体" w:eastAsia="宋体" w:hAnsi="宋体" w:cs="宋体" w:hint="eastAsia"/>
                <w:kern w:val="0"/>
                <w:sz w:val="24"/>
                <w:szCs w:val="24"/>
              </w:rPr>
              <w:t>个</w:t>
            </w:r>
            <w:proofErr w:type="gramEnd"/>
            <w:r w:rsidRPr="00645DC8">
              <w:rPr>
                <w:rFonts w:ascii="宋体" w:eastAsia="宋体" w:hAnsi="宋体" w:cs="宋体" w:hint="eastAsia"/>
                <w:kern w:val="0"/>
                <w:sz w:val="24"/>
                <w:szCs w:val="24"/>
              </w:rPr>
              <w:t>工作日内，向各县（市、区）经济和信息化局、泰安高新区经济发展局通报评价结果。</w:t>
            </w:r>
          </w:p>
          <w:p w:rsidR="00645DC8" w:rsidRPr="00645DC8" w:rsidRDefault="00645DC8" w:rsidP="00645DC8">
            <w:pPr>
              <w:widowControl/>
              <w:spacing w:line="400" w:lineRule="atLeast"/>
              <w:ind w:firstLine="240"/>
              <w:jc w:val="center"/>
              <w:rPr>
                <w:rFonts w:ascii="宋体" w:eastAsia="宋体" w:hAnsi="宋体" w:cs="宋体"/>
                <w:kern w:val="0"/>
                <w:sz w:val="24"/>
                <w:szCs w:val="24"/>
              </w:rPr>
            </w:pPr>
            <w:r w:rsidRPr="00645DC8">
              <w:rPr>
                <w:rFonts w:ascii="宋体" w:eastAsia="宋体" w:hAnsi="宋体" w:cs="宋体" w:hint="eastAsia"/>
                <w:kern w:val="0"/>
                <w:sz w:val="24"/>
                <w:szCs w:val="24"/>
              </w:rPr>
              <w:t>第四章 管理与鼓励政策</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第十四条 各县（市、区）经济和信息化局、泰安高新区经济发展局按照职能，对市级企业技术中心进行管理。</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企业对其报送材料和数据真实性负责，各县（市、区）经济和信息化局、泰安高新区经济发展局负责所属企业数据及信息的核实把关工作。</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各县（市、区）经济和信息化局、泰安高新区经济发展局应及时将市级企业技术中心所在企业发生更名、重组等变更情况及相关证明材料报送至市经济和信息化委，市经济和信息化委对相关情况进行确认并定期发文公布。</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第十五条 有下列情况之一的，撤销市级企业技术中心资格：</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（一）运行评价不合格的；</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（二）逾期未报送评价材料的；</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（三）提供虚假材料和数据的；</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（四）主要由于技术原因发生重大质量、安全事故的；</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（五）因违反国家有关法律法规受到刑事或行政处罚的；</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（六）司法、行政机关认定的其他严重违法失信行为的；</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（七）企业被依法终止的。</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第十六条 各类因本办法第十五条第（一）、（二）项所列原因被撤销市级企业技术中心资格的，自撤销之日起，两年内不得推荐申报市级企业技术中心。</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因本办法第十五条第（三）～（六）项所列原因被撤销市级企业技术中心资格的，自撤销之日起，三年内不得推荐申报市级企业技术中心。</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各县（市、区）经济和信息化局、泰安高新区经济发展局要及时对市级企业技术中心出现的问题向市经济和信息化委进行报告。</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lastRenderedPageBreak/>
              <w:t>第十七条 对认定为市级企业技术中心两年以上的企业，可推荐申报省级企业技术中心，评价成绩突出的市级企业技术中心优先推荐申报省级企业技术中心。</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支持市级企业技术中心承担国家、省市级相关研发任务，享受国家、省市优惠政策。</w:t>
            </w:r>
          </w:p>
          <w:p w:rsidR="00645DC8" w:rsidRPr="00645DC8" w:rsidRDefault="00645DC8" w:rsidP="00645DC8">
            <w:pPr>
              <w:widowControl/>
              <w:spacing w:line="400" w:lineRule="atLeast"/>
              <w:ind w:firstLine="240"/>
              <w:jc w:val="center"/>
              <w:rPr>
                <w:rFonts w:ascii="宋体" w:eastAsia="宋体" w:hAnsi="宋体" w:cs="宋体"/>
                <w:kern w:val="0"/>
                <w:sz w:val="24"/>
                <w:szCs w:val="24"/>
              </w:rPr>
            </w:pPr>
            <w:r w:rsidRPr="00645DC8">
              <w:rPr>
                <w:rFonts w:ascii="宋体" w:eastAsia="宋体" w:hAnsi="宋体" w:cs="宋体" w:hint="eastAsia"/>
                <w:kern w:val="0"/>
                <w:sz w:val="24"/>
                <w:szCs w:val="24"/>
              </w:rPr>
              <w:t>第六章 附 则</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第十八条 本办法涉及的申请材料、评价材料和评价指标体系的内容和要求，由市经济和信息化委另行发布并适时调整。</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第十九条 本办法自2017年6月15日起施行，有效期至2022年6月14日。</w:t>
            </w:r>
          </w:p>
          <w:p w:rsidR="00645DC8" w:rsidRPr="00645DC8" w:rsidRDefault="00645DC8" w:rsidP="00645DC8">
            <w:pPr>
              <w:widowControl/>
              <w:spacing w:line="400" w:lineRule="atLeast"/>
              <w:ind w:firstLine="640"/>
              <w:jc w:val="left"/>
              <w:rPr>
                <w:rFonts w:ascii="宋体" w:eastAsia="宋体" w:hAnsi="宋体" w:cs="宋体"/>
                <w:kern w:val="0"/>
                <w:sz w:val="24"/>
                <w:szCs w:val="24"/>
              </w:rPr>
            </w:pPr>
            <w:r w:rsidRPr="00645DC8">
              <w:rPr>
                <w:rFonts w:ascii="宋体" w:eastAsia="宋体" w:hAnsi="宋体" w:cs="宋体" w:hint="eastAsia"/>
                <w:kern w:val="0"/>
                <w:sz w:val="24"/>
                <w:szCs w:val="24"/>
              </w:rPr>
              <w:t>第二十条 本办法由市经济和信息化委负责解释。</w:t>
            </w:r>
          </w:p>
        </w:tc>
      </w:tr>
    </w:tbl>
    <w:p w:rsidR="00EF602C" w:rsidRPr="00645DC8" w:rsidRDefault="00EF602C"/>
    <w:sectPr w:rsidR="00EF602C" w:rsidRPr="00645D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Geneva, sans-seri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C8"/>
    <w:rsid w:val="00645DC8"/>
    <w:rsid w:val="00EF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5DA72-1816-41CB-ADF5-8100787C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2px">
    <w:name w:val="font12px"/>
    <w:basedOn w:val="a0"/>
    <w:rsid w:val="00645DC8"/>
  </w:style>
  <w:style w:type="character" w:customStyle="1" w:styleId="apple-converted-space">
    <w:name w:val="apple-converted-space"/>
    <w:basedOn w:val="a0"/>
    <w:rsid w:val="00645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56317">
      <w:bodyDiv w:val="1"/>
      <w:marLeft w:val="0"/>
      <w:marRight w:val="0"/>
      <w:marTop w:val="0"/>
      <w:marBottom w:val="0"/>
      <w:divBdr>
        <w:top w:val="none" w:sz="0" w:space="0" w:color="auto"/>
        <w:left w:val="none" w:sz="0" w:space="0" w:color="auto"/>
        <w:bottom w:val="none" w:sz="0" w:space="0" w:color="auto"/>
        <w:right w:val="none" w:sz="0" w:space="0" w:color="auto"/>
      </w:divBdr>
      <w:divsChild>
        <w:div w:id="1037120401">
          <w:marLeft w:val="0"/>
          <w:marRight w:val="0"/>
          <w:marTop w:val="0"/>
          <w:marBottom w:val="0"/>
          <w:divBdr>
            <w:top w:val="single" w:sz="2" w:space="0" w:color="333333"/>
            <w:left w:val="single" w:sz="2" w:space="0" w:color="333333"/>
            <w:bottom w:val="single" w:sz="2" w:space="0" w:color="333333"/>
            <w:right w:val="single" w:sz="2" w:space="0" w:color="333333"/>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2018-05-16T06:53:00Z</dcterms:created>
  <dcterms:modified xsi:type="dcterms:W3CDTF">2018-05-16T06:53:00Z</dcterms:modified>
</cp:coreProperties>
</file>