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29" w:rsidRDefault="008D5729" w:rsidP="008D5729">
      <w:pPr>
        <w:jc w:val="center"/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bookmarkStart w:id="0" w:name="_GoBack"/>
      <w:r w:rsidRPr="00FD38DE">
        <w:rPr>
          <w:rFonts w:ascii="微软雅黑" w:eastAsia="微软雅黑" w:hAnsi="微软雅黑" w:cs="宋体" w:hint="eastAsia"/>
          <w:b/>
          <w:bCs/>
          <w:color w:val="ED0000"/>
          <w:kern w:val="36"/>
          <w:sz w:val="30"/>
          <w:szCs w:val="30"/>
        </w:rPr>
        <w:t>关于印发大渡口区科技发展资金拨改投（保管理办法（试行）</w:t>
      </w:r>
      <w:bookmarkEnd w:id="0"/>
      <w:r w:rsidRPr="00FD38DE">
        <w:rPr>
          <w:rFonts w:ascii="微软雅黑" w:eastAsia="微软雅黑" w:hAnsi="微软雅黑" w:cs="宋体" w:hint="eastAsia"/>
          <w:b/>
          <w:bCs/>
          <w:color w:val="ED0000"/>
          <w:kern w:val="36"/>
          <w:sz w:val="30"/>
          <w:szCs w:val="30"/>
        </w:rPr>
        <w:t>的通知）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大渡口府办发〔2015〕22号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各镇人民政府，各街道办事处，区政府各部门，有关单位：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    《大渡口区科技发展资金拨改投（保）管理办法（试行）》已经区委常委会、区政府常务会审议同意，现印发给你们，请认真遵照执行。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重庆市大渡口区人民政府办公室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 2015年2月13日</w:t>
      </w:r>
    </w:p>
    <w:p w:rsidR="008D5729" w:rsidRDefault="008D5729" w:rsidP="008D5729">
      <w:pPr>
        <w:jc w:val="center"/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大渡口区科技发展资金拨改投（保） 管理办法（试行）</w:t>
      </w:r>
    </w:p>
    <w:p w:rsidR="008D5729" w:rsidRDefault="008D5729" w:rsidP="008D5729">
      <w:pPr>
        <w:jc w:val="center"/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第一章  总  则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第一条  为贯彻落实《财政部、科技部关于促进科技和金融结合加快实施自主创新战略的若干意见》（国科发财〔2011〕540号）精神，根据《重庆市应用技术研究与开发资金管理办法（2012年修订）》要求，为完善财政资金投入方式，充分发挥财政资金的基础性、先导性、集聚性作用，将一定比例的大渡口区科技发展资金用于“拨改投（保）”，以股权投资、风险担保的方式，重点支持大渡口区中小</w:t>
      </w:r>
      <w:proofErr w:type="gramStart"/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微科技</w:t>
      </w:r>
      <w:proofErr w:type="gramEnd"/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企业和科技平台建设，加快科技型企业培育，发展战略性新兴产业，优化自主创新环境，助推大渡口区转型发展。为规范、有效使用和管理该资金，特制定本办法。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第二条  大渡口区科技拨改投（保）资金规模控制在10000万元以内，每年根据实际情况在大渡口区年度财政科技发展资金中安排不超过30%的额度。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第三条  拨改投（保）资金使用坚持社会效益与经济效益并重、资金投入与创业服务并重、业务创新与管理规范并重的原则，着力于新兴产业培育，面向创新型</w:t>
      </w: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lastRenderedPageBreak/>
        <w:t>企业，以市场机制运作为主，发挥财政资金引导与扶持作用。</w:t>
      </w:r>
    </w:p>
    <w:p w:rsidR="008D5729" w:rsidRDefault="008D5729" w:rsidP="008D5729">
      <w:pPr>
        <w:jc w:val="center"/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第二章  资金支持范围与对象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第四条  拨改投（保）资金主要支持大渡口区内包含但不限于工业设计、生物医药、互联网、新材料、节能环保等重点领域的中小</w:t>
      </w:r>
      <w:proofErr w:type="gramStart"/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微科技</w:t>
      </w:r>
      <w:proofErr w:type="gramEnd"/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企业和符合产业发展导向的重点科技平台。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拨改投（保）资金重点支持由国家“千人计划”人才、重庆高层次创新创业人才、由大渡口区内相关政策引进的创新创业人才在大渡口区创办的初创</w:t>
      </w:r>
      <w:proofErr w:type="gramStart"/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期科技</w:t>
      </w:r>
      <w:proofErr w:type="gramEnd"/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企业。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拨改投（保）资金也可适度支持成长期科技企业和重点科技平台。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第五条  拨改投（保）资金支持的大渡口区初创</w:t>
      </w:r>
      <w:proofErr w:type="gramStart"/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期科技</w:t>
      </w:r>
      <w:proofErr w:type="gramEnd"/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企业一般应具备以下条件：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（一）具有独立企业法人资格，注册成立时间不超过2年。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（二）符合本区产业发展方向，具有较强的创新研发能力，拥有自主知识产权且权属清晰。</w:t>
      </w:r>
    </w:p>
    <w:p w:rsidR="008D5729" w:rsidRDefault="008D5729" w:rsidP="008D5729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（三）产品市场潜力大、竞争力强，商业模式新颖，尚未形成规模化销售。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（四）有优秀和稳定的管理团队，团队具有较强的业务能力、良好的职业道德和敬业精神。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（五）企业承诺在获得</w:t>
      </w:r>
      <w:proofErr w:type="gramStart"/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本资金</w:t>
      </w:r>
      <w:proofErr w:type="gramEnd"/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支持期间及资金退出后五年内不迁出本区，并且该资金仅用于投资协议约定的项目发展。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第六条  拨改投（保）资金支持的大渡口区成长期科技企业一般应具备以下条件：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（一）具有独立企业法人资格。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（二）符合本区产业发展方向，具有较强的创新研发能力，拥有自主知识产权且权属清晰。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（三）职工人数不超过300人，年销售（营业额）不超过3亿元，资产总额不超过4亿元，严格遵守国家法律法规。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（四）产品市场潜力大、竞争力强，市场模式新颖。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（五）有优秀和稳定的管理团队，团队具有较强的业务能力、良好的职业道德和敬业精神。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（六）企业承诺在获得</w:t>
      </w:r>
      <w:proofErr w:type="gramStart"/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本资金</w:t>
      </w:r>
      <w:proofErr w:type="gramEnd"/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支持期间及资金退出后五年内不迁出本区，并且该资金仅用于投资协议约定的项目发展。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第七条  拨改投（保）资金支持的重点科技平台应具备以下条件：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（一）专业性强、服务面广、带动性强且社会效益显著。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（二）平台实施企业有优秀和稳定的管理团队，团队具有较强的业务能力、良好的职业道德和敬业精神。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（三）平台实施企业承诺在获得</w:t>
      </w:r>
      <w:proofErr w:type="gramStart"/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本资金</w:t>
      </w:r>
      <w:proofErr w:type="gramEnd"/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支持期间及资金退出后五年内不迁出本区，并且该资金仅用于投资协议约定的项目发展。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第八条  拨改投（保）资金支持的大渡口区域外的企业，其应具备的条件参照本管理办法第五条、第六条的规定执行。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第三章  资金使用方式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第九条  拨改投（保）资金根据初创期、成长期科技企业和重点科技平台发展特点，分为股权投资、风险担保两种模式。</w:t>
      </w:r>
    </w:p>
    <w:p w:rsidR="00FD38DE" w:rsidRDefault="00FD38DE" w:rsidP="00FD38DE">
      <w:pPr>
        <w:rPr>
          <w:rFonts w:ascii="微软雅黑" w:eastAsia="微软雅黑" w:hAnsi="微软雅黑" w:cs="宋体"/>
          <w:color w:val="545454"/>
          <w:kern w:val="0"/>
          <w:sz w:val="24"/>
          <w:szCs w:val="24"/>
        </w:rPr>
      </w:pPr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第十条  股权投资模式。</w:t>
      </w:r>
    </w:p>
    <w:p w:rsidR="00061134" w:rsidRPr="00FD38DE" w:rsidRDefault="00FD38DE" w:rsidP="00FD38DE">
      <w:r w:rsidRPr="00FD38DE">
        <w:rPr>
          <w:rFonts w:ascii="微软雅黑" w:eastAsia="微软雅黑" w:hAnsi="微软雅黑" w:cs="宋体" w:hint="eastAsia"/>
          <w:color w:val="545454"/>
          <w:kern w:val="0"/>
          <w:sz w:val="24"/>
          <w:szCs w:val="24"/>
        </w:rPr>
        <w:t>针对初创期、成长期科技企业和重点科技平台，资金主要采用股权投资方式，并积极引导国内外创业投资机构共同投资。股权投资分为普通参股和阶段参股，普通参股是在投资期间内与其他股东同股同权的股权投资，阶段参股是向企业进行股权投资并在约定期限</w:t>
      </w:r>
    </w:p>
    <w:sectPr w:rsidR="00061134" w:rsidRPr="00FD3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DE"/>
    <w:rsid w:val="00061134"/>
    <w:rsid w:val="008D5729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840B8-75AE-41C1-AF37-1BB4EF50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D38D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D38D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38D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FD38DE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D38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38DE"/>
  </w:style>
  <w:style w:type="paragraph" w:styleId="a4">
    <w:name w:val="Normal (Web)"/>
    <w:basedOn w:val="a"/>
    <w:uiPriority w:val="99"/>
    <w:semiHidden/>
    <w:unhideWhenUsed/>
    <w:rsid w:val="00FD38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64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2018-05-04T07:36:00Z</dcterms:created>
  <dcterms:modified xsi:type="dcterms:W3CDTF">2018-05-04T07:55:00Z</dcterms:modified>
</cp:coreProperties>
</file>