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AA" w:rsidRDefault="00D715AA" w:rsidP="00D715AA">
      <w:pPr>
        <w:widowControl/>
        <w:spacing w:line="420" w:lineRule="atLeast"/>
        <w:jc w:val="center"/>
        <w:rPr>
          <w:rFonts w:ascii="微软雅黑" w:eastAsia="微软雅黑" w:hAnsi="微软雅黑"/>
          <w:b/>
          <w:bCs/>
          <w:color w:val="FF0000"/>
          <w:sz w:val="26"/>
          <w:szCs w:val="26"/>
        </w:rPr>
      </w:pPr>
      <w:r>
        <w:rPr>
          <w:rFonts w:ascii="微软雅黑" w:eastAsia="微软雅黑" w:hAnsi="微软雅黑" w:hint="eastAsia"/>
          <w:b/>
          <w:bCs/>
          <w:color w:val="FF0000"/>
          <w:sz w:val="26"/>
          <w:szCs w:val="26"/>
        </w:rPr>
        <w:t>关于开展</w:t>
      </w:r>
      <w:proofErr w:type="gramStart"/>
      <w:r>
        <w:rPr>
          <w:rFonts w:ascii="微软雅黑" w:eastAsia="微软雅黑" w:hAnsi="微软雅黑" w:hint="eastAsia"/>
          <w:b/>
          <w:bCs/>
          <w:color w:val="FF0000"/>
          <w:sz w:val="26"/>
          <w:szCs w:val="26"/>
        </w:rPr>
        <w:t>荔</w:t>
      </w:r>
      <w:proofErr w:type="gramEnd"/>
      <w:r>
        <w:rPr>
          <w:rFonts w:ascii="微软雅黑" w:eastAsia="微软雅黑" w:hAnsi="微软雅黑" w:hint="eastAsia"/>
          <w:b/>
          <w:bCs/>
          <w:color w:val="FF0000"/>
          <w:sz w:val="26"/>
          <w:szCs w:val="26"/>
        </w:rPr>
        <w:t>湾区高新技术企业落户和认定通过奖励扶持资金申报工作的通知</w:t>
      </w:r>
    </w:p>
    <w:p w:rsidR="00D715AA" w:rsidRDefault="00D715AA" w:rsidP="00D715AA">
      <w:pPr>
        <w:spacing w:line="525" w:lineRule="atLeast"/>
        <w:jc w:val="center"/>
        <w:rPr>
          <w:rFonts w:ascii="微软雅黑" w:eastAsia="微软雅黑" w:hAnsi="微软雅黑" w:hint="eastAsi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18"/>
          <w:szCs w:val="18"/>
        </w:rPr>
        <w:t>发布时间：  2018-04-02 10:05:24 来源：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741"/>
        <w:gridCol w:w="2824"/>
      </w:tblGrid>
      <w:tr w:rsidR="00D715AA" w:rsidTr="00D715A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715AA" w:rsidRDefault="00D715A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b/>
                <w:bCs/>
                <w:color w:val="666666"/>
                <w:sz w:val="18"/>
                <w:szCs w:val="18"/>
              </w:rPr>
              <w:t>字体大小：</w:t>
            </w:r>
            <w:r>
              <w:rPr>
                <w:sz w:val="18"/>
                <w:szCs w:val="18"/>
              </w:rPr>
              <w:t> </w:t>
            </w:r>
            <w:hyperlink r:id="rId7" w:history="1">
              <w:r>
                <w:rPr>
                  <w:rStyle w:val="a3"/>
                  <w:color w:val="333333"/>
                  <w:sz w:val="18"/>
                  <w:szCs w:val="18"/>
                </w:rPr>
                <w:t>大</w:t>
              </w:r>
            </w:hyperlink>
            <w:r>
              <w:rPr>
                <w:sz w:val="18"/>
                <w:szCs w:val="18"/>
              </w:rPr>
              <w:t> </w:t>
            </w:r>
            <w:hyperlink r:id="rId8" w:history="1">
              <w:r>
                <w:rPr>
                  <w:rStyle w:val="a3"/>
                  <w:color w:val="333333"/>
                  <w:sz w:val="18"/>
                  <w:szCs w:val="18"/>
                </w:rPr>
                <w:t>中</w:t>
              </w:r>
            </w:hyperlink>
            <w:r>
              <w:rPr>
                <w:sz w:val="18"/>
                <w:szCs w:val="18"/>
              </w:rPr>
              <w:t> </w:t>
            </w:r>
            <w:hyperlink r:id="rId9" w:history="1">
              <w:r>
                <w:rPr>
                  <w:rStyle w:val="a3"/>
                  <w:color w:val="333333"/>
                  <w:sz w:val="18"/>
                  <w:szCs w:val="18"/>
                </w:rPr>
                <w:t>小</w:t>
              </w:r>
            </w:hyperlink>
          </w:p>
        </w:tc>
        <w:tc>
          <w:tcPr>
            <w:tcW w:w="165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1"/>
            </w:tblGrid>
            <w:tr w:rsidR="00D715A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15AA" w:rsidRDefault="00D715A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715AA" w:rsidRDefault="00D7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  <w:hideMark/>
          </w:tcPr>
          <w:p w:rsidR="00D715AA" w:rsidRDefault="00D715A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colorfont"/>
                <w:color w:val="666666"/>
              </w:rPr>
              <w:t>保护视力色：</w:t>
            </w:r>
          </w:p>
        </w:tc>
      </w:tr>
    </w:tbl>
    <w:p w:rsidR="00D715AA" w:rsidRDefault="00D715AA" w:rsidP="00D715AA">
      <w:pPr>
        <w:pStyle w:val="a4"/>
        <w:spacing w:before="150" w:beforeAutospacing="0" w:after="15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各有关单位：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为贯彻落实《广州市荔湾区扶持高新技术企业发展实施办法（试行）》(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〔2018〕2号），现组织2018年资金奖励申报工作，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请符合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条件的企业按申报指南规定（见附件）向荔湾区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科工商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信局提交申请材料，申请材料一式三份，复印件必须由申请单位加盖公章证实与原件一致，申报时间为2018年4月1日至4月20日。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附件：2018年度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湾区国家高新技术企业落户和认定通过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奖励申报指南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br/>
        <w:t>广州市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湾区科技工业商务和信息化局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2018年3月29日      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（联系人：闻志晖，联系电话：81376806）</w:t>
      </w:r>
    </w:p>
    <w:p w:rsidR="00D715AA" w:rsidRDefault="00D715AA" w:rsidP="00D715AA">
      <w:pPr>
        <w:pStyle w:val="a4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附件</w:t>
      </w:r>
    </w:p>
    <w:p w:rsidR="00D715AA" w:rsidRDefault="00D715AA" w:rsidP="00D715AA">
      <w:pPr>
        <w:pStyle w:val="a4"/>
        <w:spacing w:before="150" w:beforeAutospacing="0" w:after="150" w:afterAutospacing="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333333"/>
          <w:sz w:val="32"/>
          <w:szCs w:val="32"/>
        </w:rPr>
        <w:t>2018年度</w:t>
      </w:r>
      <w:proofErr w:type="gramStart"/>
      <w:r>
        <w:rPr>
          <w:rStyle w:val="a5"/>
          <w:rFonts w:ascii="微软雅黑" w:eastAsia="微软雅黑" w:hAnsi="微软雅黑" w:hint="eastAsia"/>
          <w:color w:val="333333"/>
          <w:sz w:val="32"/>
          <w:szCs w:val="32"/>
        </w:rPr>
        <w:t>荔</w:t>
      </w:r>
      <w:proofErr w:type="gramEnd"/>
      <w:r>
        <w:rPr>
          <w:rStyle w:val="a5"/>
          <w:rFonts w:ascii="微软雅黑" w:eastAsia="微软雅黑" w:hAnsi="微软雅黑" w:hint="eastAsia"/>
          <w:color w:val="333333"/>
          <w:sz w:val="32"/>
          <w:szCs w:val="32"/>
        </w:rPr>
        <w:t>湾区国家高新技术企业落户和认定通过奖励申报指南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一、申报依据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《广州市荔湾区扶持高新技术企业发展实施办法（试行）》(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〔2018〕2号，以下简称《实施办法》）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二、申报条件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本办法所指的高新技术企业，指企业住所（注册地）设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湾区的并实际运营，由省科技厅、省财政厅、省国税局、省地税局依据《高新技术企业认定管理办法》（国科发火〔2016〕32号）认定的国家级高新技术企业。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三、扶持标准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(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)落户奖励：2017年1月1日后新迁入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湾区的高新技术企业，实际运营一年以上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且年营收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2000万元（含）以上的，给予20万元的一次性奖励；实际运营一年以上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且年营收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2000万元以下的，给予10万元的一次性奖励。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（二）认定奖励：对2017年1月1日后首次获得高新技术企业认定的企业，且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年营收超过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5000万元（含）的，给予10万元的一次性奖励。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四、申报材料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(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)申请高新技术企业落户奖励。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1.《荔湾区国家高新技术企业落户和认定通过奖励申请书（2018年度）》(下载打印并签章)；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2.企业营业执照；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3.省科技业务管理阳光政务平台(网址：http://pro.gdstc.gov.cn/)高新技术企业认定通过公示截屏(加盖企业公章)；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4.地址变更证明；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5.2017年年度审计报告或有资质的税务师事务所/会计师事务所出具的企业营收证明。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(二)申请高新技术企业认定通过奖励。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1.《荔湾区国家高新技术企业落户和认定通过奖励申请书（2018年度）》(下载打印并签章)；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2.企业营业执照；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3.省科技业务管理阳光政务平台(网址：http://pro.gdstc.gov.cn/)高新技术企业认定通过公示截屏(加盖企业公章)；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4.2017年年度审计报告或有资质的税务师事务所/会计师事务所出具的企业营收证明。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(三)纸质申请材料编制要求。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1.申请书相关附件材料合订成册，各种附件材料分类置于申请书后面。提交一式2份。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2.所有纸质申报材料需按规定的顺序胶装，逐页编制总页码，并在每份申报材料内提供材料总目录和相应的页码范围。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五、申报时间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2018年4月1日—4月20日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六、受理地点及联系人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受理点：广州市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湾区科技工业商务和信息化局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地  址：广州市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湾区东漖南路中段东漖南街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湾区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科工商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信局507室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联系人：闻志晖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电  话：020-81376806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D715AA" w:rsidRDefault="00D715AA" w:rsidP="00D715AA">
      <w:pPr>
        <w:pStyle w:val="a4"/>
        <w:spacing w:before="150" w:beforeAutospacing="0" w:after="15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附件：</w:t>
      </w:r>
      <w:hyperlink r:id="rId10" w:tgtFrame="_blank" w:history="1">
        <w:proofErr w:type="gramStart"/>
        <w:r>
          <w:rPr>
            <w:rStyle w:val="a3"/>
            <w:rFonts w:ascii="微软雅黑" w:eastAsia="微软雅黑" w:hAnsi="微软雅黑" w:hint="eastAsia"/>
            <w:color w:val="333333"/>
            <w:sz w:val="21"/>
            <w:szCs w:val="21"/>
          </w:rPr>
          <w:t>荔</w:t>
        </w:r>
        <w:proofErr w:type="gramEnd"/>
        <w:r>
          <w:rPr>
            <w:rStyle w:val="a3"/>
            <w:rFonts w:ascii="微软雅黑" w:eastAsia="微软雅黑" w:hAnsi="微软雅黑" w:hint="eastAsia"/>
            <w:color w:val="333333"/>
            <w:sz w:val="21"/>
            <w:szCs w:val="21"/>
          </w:rPr>
          <w:t>湾区国家高新技术企业落户和认定通过奖励申请书（2018年度）.</w:t>
        </w:r>
        <w:proofErr w:type="gramStart"/>
        <w:r>
          <w:rPr>
            <w:rStyle w:val="a3"/>
            <w:rFonts w:ascii="微软雅黑" w:eastAsia="微软雅黑" w:hAnsi="微软雅黑" w:hint="eastAsia"/>
            <w:color w:val="333333"/>
            <w:sz w:val="21"/>
            <w:szCs w:val="21"/>
          </w:rPr>
          <w:t>doc</w:t>
        </w:r>
        <w:proofErr w:type="gramEnd"/>
      </w:hyperlink>
    </w:p>
    <w:p w:rsidR="00DE7D1C" w:rsidRPr="00D715AA" w:rsidRDefault="00DE7D1C" w:rsidP="00D715AA">
      <w:pPr>
        <w:rPr>
          <w:rFonts w:hint="eastAsia"/>
        </w:rPr>
      </w:pPr>
      <w:bookmarkStart w:id="0" w:name="_GoBack"/>
      <w:bookmarkEnd w:id="0"/>
    </w:p>
    <w:sectPr w:rsidR="00DE7D1C" w:rsidRPr="00D7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48" w:rsidRDefault="006E0848" w:rsidP="00D715AA">
      <w:r>
        <w:separator/>
      </w:r>
    </w:p>
  </w:endnote>
  <w:endnote w:type="continuationSeparator" w:id="0">
    <w:p w:rsidR="006E0848" w:rsidRDefault="006E0848" w:rsidP="00D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48" w:rsidRDefault="006E0848" w:rsidP="00D715AA">
      <w:r>
        <w:separator/>
      </w:r>
    </w:p>
  </w:footnote>
  <w:footnote w:type="continuationSeparator" w:id="0">
    <w:p w:rsidR="006E0848" w:rsidRDefault="006E0848" w:rsidP="00D7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578AC"/>
    <w:multiLevelType w:val="multilevel"/>
    <w:tmpl w:val="45DC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63CE"/>
    <w:multiLevelType w:val="multilevel"/>
    <w:tmpl w:val="3DB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D4362"/>
    <w:multiLevelType w:val="multilevel"/>
    <w:tmpl w:val="817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35"/>
    <w:rsid w:val="00082B87"/>
    <w:rsid w:val="0014172E"/>
    <w:rsid w:val="001C0C84"/>
    <w:rsid w:val="002B15C0"/>
    <w:rsid w:val="003B671C"/>
    <w:rsid w:val="00502AB8"/>
    <w:rsid w:val="00580658"/>
    <w:rsid w:val="005B759D"/>
    <w:rsid w:val="006E0848"/>
    <w:rsid w:val="00822680"/>
    <w:rsid w:val="00D715AA"/>
    <w:rsid w:val="00DE7D1C"/>
    <w:rsid w:val="00E52E35"/>
    <w:rsid w:val="00E870B9"/>
    <w:rsid w:val="00ED68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11376-4A4A-40E0-A0EE-7FA4B3F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26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8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B8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26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822680"/>
  </w:style>
  <w:style w:type="character" w:styleId="a3">
    <w:name w:val="Hyperlink"/>
    <w:basedOn w:val="a0"/>
    <w:uiPriority w:val="99"/>
    <w:unhideWhenUsed/>
    <w:rsid w:val="00822680"/>
    <w:rPr>
      <w:color w:val="0000FF"/>
      <w:u w:val="single"/>
    </w:rPr>
  </w:style>
  <w:style w:type="character" w:customStyle="1" w:styleId="view">
    <w:name w:val="view"/>
    <w:basedOn w:val="a0"/>
    <w:rsid w:val="00822680"/>
  </w:style>
  <w:style w:type="paragraph" w:styleId="a4">
    <w:name w:val="Normal (Web)"/>
    <w:basedOn w:val="a"/>
    <w:uiPriority w:val="99"/>
    <w:semiHidden/>
    <w:unhideWhenUsed/>
    <w:rsid w:val="0082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2268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ED68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ly">
    <w:name w:val="ly"/>
    <w:basedOn w:val="a"/>
    <w:rsid w:val="00ED6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B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eft">
    <w:name w:val="left"/>
    <w:basedOn w:val="a0"/>
    <w:rsid w:val="00082B87"/>
  </w:style>
  <w:style w:type="character" w:customStyle="1" w:styleId="jshideshow">
    <w:name w:val="js_hideshow"/>
    <w:basedOn w:val="a0"/>
    <w:rsid w:val="00082B87"/>
  </w:style>
  <w:style w:type="character" w:customStyle="1" w:styleId="jsfontsize">
    <w:name w:val="js_fontsize"/>
    <w:basedOn w:val="a0"/>
    <w:rsid w:val="00082B87"/>
  </w:style>
  <w:style w:type="character" w:customStyle="1" w:styleId="colorfont">
    <w:name w:val="colorfont"/>
    <w:basedOn w:val="a0"/>
    <w:rsid w:val="00502AB8"/>
  </w:style>
  <w:style w:type="paragraph" w:styleId="a6">
    <w:name w:val="header"/>
    <w:basedOn w:val="a"/>
    <w:link w:val="Char"/>
    <w:uiPriority w:val="99"/>
    <w:unhideWhenUsed/>
    <w:rsid w:val="00D7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715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71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1151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85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72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3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821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  <w:divsChild>
                <w:div w:id="5059460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97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523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0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511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000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57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5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.gov.cn/lwq/sbzn/201804/510ca7912766494e83c00e8591a8d679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w.gov.cn/lwq/sbzn/201804/510ca7912766494e83c00e8591a8d679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w.gov.cn/lwq/sbzn/201804/510ca7912766494e83c00e8591a8d679/files/b3f4df42ec6b470582507a4eb9327bb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w.gov.cn/lwq/sbzn/201804/510ca7912766494e83c00e8591a8d679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268</Words>
  <Characters>1532</Characters>
  <Application>Microsoft Office Word</Application>
  <DocSecurity>0</DocSecurity>
  <Lines>12</Lines>
  <Paragraphs>3</Paragraphs>
  <ScaleCrop>false</ScaleCrop>
  <Company>微软中国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15</cp:revision>
  <dcterms:created xsi:type="dcterms:W3CDTF">2019-04-24T06:04:00Z</dcterms:created>
  <dcterms:modified xsi:type="dcterms:W3CDTF">2019-04-25T02:20:00Z</dcterms:modified>
</cp:coreProperties>
</file>