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0" w:type="dxa"/>
        <w:tblBorders>
          <w:top w:val="single" w:sz="6" w:space="0" w:color="2CB0FF"/>
          <w:left w:val="single" w:sz="6" w:space="0" w:color="2CB0FF"/>
          <w:bottom w:val="single" w:sz="6" w:space="0" w:color="2CB0FF"/>
          <w:right w:val="single" w:sz="6" w:space="0" w:color="2CB0FF"/>
        </w:tblBorders>
        <w:tblCellMar>
          <w:left w:w="0" w:type="dxa"/>
          <w:right w:w="0" w:type="dxa"/>
        </w:tblCellMar>
        <w:tblLook w:val="04A0" w:firstRow="1" w:lastRow="0" w:firstColumn="1" w:lastColumn="0" w:noHBand="0" w:noVBand="1"/>
      </w:tblPr>
      <w:tblGrid>
        <w:gridCol w:w="7461"/>
      </w:tblGrid>
      <w:tr w:rsidR="0086246C" w:rsidRPr="0086246C">
        <w:trPr>
          <w:trHeight w:val="320"/>
          <w:tblCellSpacing w:w="0" w:type="dxa"/>
          <w:jc w:val="center"/>
        </w:trPr>
        <w:tc>
          <w:tcPr>
            <w:tcW w:w="0" w:type="auto"/>
            <w:shd w:val="clear" w:color="auto" w:fill="D7EFFF"/>
            <w:vAlign w:val="center"/>
            <w:hideMark/>
          </w:tcPr>
          <w:p w:rsidR="0086246C" w:rsidRPr="0086246C" w:rsidRDefault="0086246C" w:rsidP="0086246C">
            <w:pPr>
              <w:widowControl/>
              <w:jc w:val="center"/>
              <w:rPr>
                <w:rFonts w:ascii="宋体" w:eastAsia="宋体" w:hAnsi="宋体" w:cs="宋体"/>
                <w:kern w:val="0"/>
                <w:sz w:val="24"/>
                <w:szCs w:val="24"/>
              </w:rPr>
            </w:pPr>
            <w:bookmarkStart w:id="0" w:name="_GoBack"/>
            <w:r w:rsidRPr="0086246C">
              <w:rPr>
                <w:rFonts w:ascii="宋体" w:eastAsia="宋体" w:hAnsi="宋体" w:cs="宋体"/>
                <w:b/>
                <w:bCs/>
                <w:kern w:val="0"/>
                <w:szCs w:val="21"/>
              </w:rPr>
              <w:t>抚州市人民政府办公室印发关于扶持发展新型农业经营主体的实施意见的通知</w:t>
            </w:r>
            <w:bookmarkEnd w:id="0"/>
            <w:r w:rsidRPr="0086246C">
              <w:rPr>
                <w:rFonts w:ascii="宋体" w:eastAsia="宋体" w:hAnsi="宋体" w:cs="宋体"/>
                <w:kern w:val="0"/>
                <w:sz w:val="24"/>
                <w:szCs w:val="24"/>
              </w:rPr>
              <w:t xml:space="preserve"> </w:t>
            </w:r>
          </w:p>
        </w:tc>
      </w:tr>
    </w:tbl>
    <w:p w:rsidR="0086246C" w:rsidRPr="0086246C" w:rsidRDefault="0086246C" w:rsidP="0086246C">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86246C" w:rsidRPr="0086246C">
        <w:trPr>
          <w:trHeight w:val="420"/>
          <w:tblCellSpacing w:w="0" w:type="dxa"/>
          <w:jc w:val="center"/>
        </w:trPr>
        <w:tc>
          <w:tcPr>
            <w:tcW w:w="0" w:type="auto"/>
            <w:vAlign w:val="center"/>
            <w:hideMark/>
          </w:tcPr>
          <w:p w:rsidR="0086246C" w:rsidRPr="0086246C" w:rsidRDefault="0086246C" w:rsidP="0086246C">
            <w:pPr>
              <w:widowControl/>
              <w:spacing w:line="360" w:lineRule="atLeast"/>
              <w:jc w:val="center"/>
              <w:rPr>
                <w:rFonts w:ascii="宋体" w:eastAsia="宋体" w:hAnsi="宋体" w:cs="宋体"/>
                <w:kern w:val="0"/>
                <w:szCs w:val="21"/>
              </w:rPr>
            </w:pPr>
            <w:r w:rsidRPr="0086246C">
              <w:rPr>
                <w:rFonts w:ascii="宋体" w:eastAsia="宋体" w:hAnsi="宋体" w:cs="宋体"/>
                <w:b/>
                <w:bCs/>
                <w:kern w:val="0"/>
                <w:szCs w:val="21"/>
              </w:rPr>
              <w:t>公开方式：</w:t>
            </w:r>
            <w:r w:rsidRPr="0086246C">
              <w:rPr>
                <w:rFonts w:ascii="宋体" w:eastAsia="宋体" w:hAnsi="宋体" w:cs="宋体"/>
                <w:kern w:val="0"/>
                <w:szCs w:val="21"/>
              </w:rPr>
              <w:t xml:space="preserve">主动公开 　</w:t>
            </w:r>
            <w:r w:rsidRPr="0086246C">
              <w:rPr>
                <w:rFonts w:ascii="宋体" w:eastAsia="宋体" w:hAnsi="宋体" w:cs="宋体"/>
                <w:b/>
                <w:bCs/>
                <w:kern w:val="0"/>
                <w:szCs w:val="21"/>
              </w:rPr>
              <w:t>责任部门：</w:t>
            </w:r>
            <w:r w:rsidRPr="0086246C">
              <w:rPr>
                <w:rFonts w:ascii="宋体" w:eastAsia="宋体" w:hAnsi="宋体" w:cs="宋体"/>
                <w:kern w:val="0"/>
                <w:szCs w:val="21"/>
              </w:rPr>
              <w:t xml:space="preserve">市政府办公室 　 </w:t>
            </w:r>
            <w:r w:rsidRPr="0086246C">
              <w:rPr>
                <w:rFonts w:ascii="宋体" w:eastAsia="宋体" w:hAnsi="宋体" w:cs="宋体"/>
                <w:b/>
                <w:bCs/>
                <w:kern w:val="0"/>
                <w:szCs w:val="21"/>
              </w:rPr>
              <w:t>发布时间：</w:t>
            </w:r>
            <w:r w:rsidRPr="0086246C">
              <w:rPr>
                <w:rFonts w:ascii="宋体" w:eastAsia="宋体" w:hAnsi="宋体" w:cs="宋体"/>
                <w:kern w:val="0"/>
                <w:szCs w:val="21"/>
              </w:rPr>
              <w:t xml:space="preserve">2017-02-07 　　</w:t>
            </w:r>
            <w:r w:rsidRPr="0086246C">
              <w:rPr>
                <w:rFonts w:ascii="宋体" w:eastAsia="宋体" w:hAnsi="宋体" w:cs="宋体"/>
                <w:b/>
                <w:bCs/>
                <w:kern w:val="0"/>
                <w:szCs w:val="21"/>
              </w:rPr>
              <w:t>文件编号：</w:t>
            </w:r>
            <w:proofErr w:type="gramStart"/>
            <w:r w:rsidRPr="0086246C">
              <w:rPr>
                <w:rFonts w:ascii="宋体" w:eastAsia="宋体" w:hAnsi="宋体" w:cs="宋体"/>
                <w:kern w:val="0"/>
                <w:szCs w:val="21"/>
              </w:rPr>
              <w:t>抚府办</w:t>
            </w:r>
            <w:proofErr w:type="gramEnd"/>
            <w:r w:rsidRPr="0086246C">
              <w:rPr>
                <w:rFonts w:ascii="宋体" w:eastAsia="宋体" w:hAnsi="宋体" w:cs="宋体"/>
                <w:kern w:val="0"/>
                <w:szCs w:val="21"/>
              </w:rPr>
              <w:t>发〔2017〕5号</w:t>
            </w:r>
          </w:p>
        </w:tc>
      </w:tr>
    </w:tbl>
    <w:p w:rsidR="0086246C" w:rsidRPr="0086246C" w:rsidRDefault="0086246C" w:rsidP="0086246C">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86246C" w:rsidRPr="0086246C">
        <w:trPr>
          <w:tblCellSpacing w:w="0" w:type="dxa"/>
          <w:jc w:val="center"/>
        </w:trPr>
        <w:tc>
          <w:tcPr>
            <w:tcW w:w="0" w:type="auto"/>
            <w:shd w:val="clear" w:color="auto" w:fill="036FCC"/>
            <w:vAlign w:val="center"/>
            <w:hideMark/>
          </w:tcPr>
          <w:p w:rsidR="0086246C" w:rsidRPr="0086246C" w:rsidRDefault="0086246C" w:rsidP="0086246C">
            <w:pPr>
              <w:widowControl/>
              <w:jc w:val="left"/>
              <w:rPr>
                <w:rFonts w:ascii="宋体" w:eastAsia="宋体" w:hAnsi="宋体" w:cs="宋体"/>
                <w:kern w:val="0"/>
                <w:sz w:val="24"/>
                <w:szCs w:val="24"/>
              </w:rPr>
            </w:pPr>
            <w:r w:rsidRPr="0086246C">
              <w:rPr>
                <w:rFonts w:ascii="宋体" w:eastAsia="宋体" w:hAnsi="宋体" w:cs="宋体"/>
                <w:noProof/>
                <w:kern w:val="0"/>
                <w:sz w:val="24"/>
                <w:szCs w:val="24"/>
              </w:rPr>
              <w:drawing>
                <wp:inline distT="0" distB="0" distL="0" distR="0">
                  <wp:extent cx="19050" cy="19050"/>
                  <wp:effectExtent l="0" t="0" r="0" b="0"/>
                  <wp:docPr id="1" name="图片 1" descr="http://xxgk.jxfz.gov.cn/images/to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xgk.jxfz.gov.cn/images/top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r>
    </w:tbl>
    <w:p w:rsidR="0086246C" w:rsidRPr="0086246C" w:rsidRDefault="0086246C" w:rsidP="0086246C">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86246C" w:rsidRPr="0086246C">
        <w:trPr>
          <w:tblCellSpacing w:w="0" w:type="dxa"/>
          <w:jc w:val="center"/>
        </w:trPr>
        <w:tc>
          <w:tcPr>
            <w:tcW w:w="0" w:type="auto"/>
            <w:vAlign w:val="center"/>
            <w:hideMark/>
          </w:tcPr>
          <w:p w:rsidR="0086246C" w:rsidRPr="0086246C" w:rsidRDefault="0086246C" w:rsidP="0086246C">
            <w:pPr>
              <w:widowControl/>
              <w:jc w:val="left"/>
              <w:rPr>
                <w:rFonts w:ascii="宋体" w:eastAsia="宋体" w:hAnsi="宋体" w:cs="宋体"/>
                <w:kern w:val="0"/>
                <w:sz w:val="24"/>
                <w:szCs w:val="24"/>
              </w:rPr>
            </w:pPr>
            <w:r w:rsidRPr="0086246C">
              <w:rPr>
                <w:rFonts w:ascii="宋体" w:eastAsia="宋体" w:hAnsi="宋体" w:cs="宋体"/>
                <w:kern w:val="0"/>
                <w:sz w:val="24"/>
                <w:szCs w:val="24"/>
              </w:rPr>
              <w:t> </w:t>
            </w:r>
          </w:p>
        </w:tc>
      </w:tr>
    </w:tbl>
    <w:p w:rsidR="0086246C" w:rsidRPr="0086246C" w:rsidRDefault="0086246C" w:rsidP="0086246C">
      <w:pPr>
        <w:widowControl/>
        <w:jc w:val="center"/>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86246C" w:rsidRPr="0086246C">
        <w:trPr>
          <w:trHeight w:val="6410"/>
          <w:tblCellSpacing w:w="0" w:type="dxa"/>
          <w:jc w:val="center"/>
        </w:trPr>
        <w:tc>
          <w:tcPr>
            <w:tcW w:w="0" w:type="auto"/>
            <w:hideMark/>
          </w:tcPr>
          <w:p w:rsidR="0086246C" w:rsidRPr="0086246C" w:rsidRDefault="0086246C" w:rsidP="0086246C">
            <w:pPr>
              <w:widowControl/>
              <w:wordWrap w:val="0"/>
              <w:spacing w:line="360" w:lineRule="atLeast"/>
              <w:jc w:val="left"/>
              <w:rPr>
                <w:rFonts w:ascii="宋体" w:eastAsia="宋体" w:hAnsi="宋体" w:cs="宋体"/>
                <w:kern w:val="0"/>
                <w:szCs w:val="21"/>
              </w:rPr>
            </w:pPr>
            <w:r w:rsidRPr="0086246C">
              <w:rPr>
                <w:rFonts w:ascii="宋体" w:eastAsia="宋体" w:hAnsi="宋体" w:cs="宋体"/>
                <w:kern w:val="0"/>
                <w:szCs w:val="21"/>
              </w:rPr>
              <w:t xml:space="preserve">　　 </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各县（区）人民政府、抚州高新区管委会，市政府有关部门：</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《关于扶持发展新型农业经营主体的实施意见》已经市政府第3次常务会议研究同意，现印发给你们，请认真贯彻执行。</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2017年1月13日</w:t>
            </w:r>
          </w:p>
          <w:p w:rsidR="0086246C" w:rsidRPr="0086246C" w:rsidRDefault="0086246C" w:rsidP="0086246C">
            <w:pPr>
              <w:widowControl/>
              <w:wordWrap w:val="0"/>
              <w:spacing w:before="100" w:beforeAutospacing="1" w:after="100" w:afterAutospacing="1" w:line="360" w:lineRule="atLeast"/>
              <w:jc w:val="center"/>
              <w:rPr>
                <w:rFonts w:ascii="宋体" w:eastAsia="宋体" w:hAnsi="宋体" w:cs="宋体"/>
                <w:kern w:val="0"/>
                <w:szCs w:val="21"/>
              </w:rPr>
            </w:pPr>
            <w:r w:rsidRPr="0086246C">
              <w:rPr>
                <w:rFonts w:ascii="宋体" w:eastAsia="宋体" w:hAnsi="宋体" w:cs="宋体"/>
                <w:kern w:val="0"/>
                <w:szCs w:val="21"/>
              </w:rPr>
              <w:t xml:space="preserve">　　关于扶持发展新型农业经营主体的实施意见</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为加快发展新型农业经营主体，建设现代农业，根据《江西省委办公厅 江西省人民政府办公厅关于加快构建新型农业经营体系的意见》（</w:t>
            </w:r>
            <w:proofErr w:type="gramStart"/>
            <w:r w:rsidRPr="0086246C">
              <w:rPr>
                <w:rFonts w:ascii="宋体" w:eastAsia="宋体" w:hAnsi="宋体" w:cs="宋体"/>
                <w:kern w:val="0"/>
                <w:szCs w:val="21"/>
              </w:rPr>
              <w:t>赣办发</w:t>
            </w:r>
            <w:proofErr w:type="gramEnd"/>
            <w:r w:rsidRPr="0086246C">
              <w:rPr>
                <w:rFonts w:ascii="宋体" w:eastAsia="宋体" w:hAnsi="宋体" w:cs="宋体"/>
                <w:kern w:val="0"/>
                <w:szCs w:val="21"/>
              </w:rPr>
              <w:t>〔2013〕17号 ）、《江西省人民政府办公厅关于加快构建新型农业综合服务体系的意见》（赣府厅发〔2016〕30号）文件精神，结合我市实际，现提出如下实施意见：</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一、指导思想和目标任务</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一）指导思想。全面贯彻落实党的十八大和十八届三中、四中、五中、六中全会以及中央经济工作会议精神，创新农业经营体制机制，深入推进农业供给侧结构性改革，扶持发展专业大户、家庭农场、农民合作社、龙头企业、农业社会化服务组织等新型农业经营主体，构建以家庭承包农户为基础、新型经营主体为骨干、其他组织形式为补充的农业经营体系。</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二）目标任务。按照“培育一批、规范一批、提升一批”的要求，通过五年的努力，到2020年，新型农业经营主体带动农户占全市农户总数的80%以上，主要农作物规模化种植达到50%以上，主要畜禽规模化养殖达到85%以上，农作物耕种</w:t>
            </w:r>
            <w:proofErr w:type="gramStart"/>
            <w:r w:rsidRPr="0086246C">
              <w:rPr>
                <w:rFonts w:ascii="宋体" w:eastAsia="宋体" w:hAnsi="宋体" w:cs="宋体"/>
                <w:kern w:val="0"/>
                <w:szCs w:val="21"/>
              </w:rPr>
              <w:t>收综合</w:t>
            </w:r>
            <w:proofErr w:type="gramEnd"/>
            <w:r w:rsidRPr="0086246C">
              <w:rPr>
                <w:rFonts w:ascii="宋体" w:eastAsia="宋体" w:hAnsi="宋体" w:cs="宋体"/>
                <w:kern w:val="0"/>
                <w:szCs w:val="21"/>
              </w:rPr>
              <w:t>机械化水平达到70%以上，农业生产组织化、专业化和经济效益明显提升。</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二、工作重点</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（一）支持发展专业大户。支持和引导有文化、懂技术、会经营的农村实用人才、农村致富带头人和返乡大学生，逐步培育为专业种养大户。从20</w:t>
            </w:r>
            <w:r w:rsidRPr="0086246C">
              <w:rPr>
                <w:rFonts w:ascii="宋体" w:eastAsia="宋体" w:hAnsi="宋体" w:cs="宋体"/>
                <w:kern w:val="0"/>
                <w:szCs w:val="21"/>
              </w:rPr>
              <w:lastRenderedPageBreak/>
              <w:t>17年起，全市重点扶持发展一批种粮大户、南丰蜜桔大户、广昌白莲大户、资溪白茶大户、水产养殖大户、农机大户等。</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二）大力培育家庭农场。把全市11个现代农业示范园区作为发展家庭农场的重要平台，把“一村一品”特色村作为培育家庭农场的主要阵地，引导和鼓励具有生产规模的农村专业大户发展成为家庭农场。加强家庭农场的指导、培训和资金扶持，推动家庭农场大规模、高层次联合。支持家庭农场向农民合作社方向发展，鼓励家庭农场按股份合作形式组建生产性、经营性公司。支持家庭农场发展休闲农庄，推动休闲农庄规模经营。2017年全市培育达到120家市级以上示范家庭农场、2018年达到150家、2020年达到200家，使家庭农场数量增加、档次提升、效益提高。</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三）提升壮大农民合作社。按照“稳发展、重规范、抓联合、促提升”的要求，立足抚州资源特色，积极培育果、蔬、渔、猪、林等特色产业农民合作社。着眼粮食优势产区，大力发展粮食产业农民合作社。结合灌区节水改造和小型农田水利建设，进一步完善农民用水合作组织。重点培育机械保有量多、机械化水平较高的农机专业合作社。支持农村各类经营主体在农产品加工、储存、运输、销售等环节兴办农民合作社。引导全市粮食、畜禽、果蔬、渔业、茶叶、种子等同类型农民合作社组建农民合作社联合社。2017年全市培育达到240家市级以上示范合作社、2018年达到300家、2020年达到400家。</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四）做大做强龙头企业。全市围绕东乡生猪、南丰蜜桔、崇仁麻鸡、广昌白莲、黎川茶树菇、南城禽蛋、宜黄水稻制种、资溪白茶、南丰甲鱼、金溪香料、乐安蔬菜、金溪蜜梨、临川优质稻、东乡红薯、临川中药材、南城水产等16个农业产业集群，重点培育加工规模大、产业链条长、市场竞争力强、辐射带动面广的大型龙头企业或企业集团。支持龙头企业通过兼并、重组、控股等方式上市融资、发行债券。支持龙头企业建设农产品生产基地，建设现代农业示范园区。鼓励龙头企业领办农民合作社，推行“龙头企业+合作社+农户（家庭农场）”经营模式，采取保底收购、股份分红、利润返还等方式，完善利益联结机制。2017年全市培育年销售收入超10亿元以上龙头企业达到1家、2018年达到2家、2020年达到5家，发展400家市级以上龙头企业。</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（五）加强社会化服务组织建设。充分发挥农业公共服务组织的支撑作用，提升农技推广、植物保护、动物防疫、农产品质</w:t>
            </w:r>
            <w:proofErr w:type="gramStart"/>
            <w:r w:rsidRPr="0086246C">
              <w:rPr>
                <w:rFonts w:ascii="宋体" w:eastAsia="宋体" w:hAnsi="宋体" w:cs="宋体"/>
                <w:kern w:val="0"/>
                <w:szCs w:val="21"/>
              </w:rPr>
              <w:t>量安全</w:t>
            </w:r>
            <w:proofErr w:type="gramEnd"/>
            <w:r w:rsidRPr="0086246C">
              <w:rPr>
                <w:rFonts w:ascii="宋体" w:eastAsia="宋体" w:hAnsi="宋体" w:cs="宋体"/>
                <w:kern w:val="0"/>
                <w:szCs w:val="21"/>
              </w:rPr>
              <w:t>监管、农村集体“三资”监管、农业行政执法等公益性服务水平，建设好抚州智慧农业平台、农产品质</w:t>
            </w:r>
            <w:proofErr w:type="gramStart"/>
            <w:r w:rsidRPr="0086246C">
              <w:rPr>
                <w:rFonts w:ascii="宋体" w:eastAsia="宋体" w:hAnsi="宋体" w:cs="宋体"/>
                <w:kern w:val="0"/>
                <w:szCs w:val="21"/>
              </w:rPr>
              <w:t>量安全</w:t>
            </w:r>
            <w:proofErr w:type="gramEnd"/>
            <w:r w:rsidRPr="0086246C">
              <w:rPr>
                <w:rFonts w:ascii="宋体" w:eastAsia="宋体" w:hAnsi="宋体" w:cs="宋体"/>
                <w:kern w:val="0"/>
                <w:szCs w:val="21"/>
              </w:rPr>
              <w:t>监管平台、农村集体“三资”监管平台、农村综合产权交易平台和农业行政执法监管平台等五个平台。鼓励发展经营性服务组织，</w:t>
            </w:r>
            <w:r w:rsidRPr="0086246C">
              <w:rPr>
                <w:rFonts w:ascii="宋体" w:eastAsia="宋体" w:hAnsi="宋体" w:cs="宋体"/>
                <w:kern w:val="0"/>
                <w:szCs w:val="21"/>
              </w:rPr>
              <w:lastRenderedPageBreak/>
              <w:t>通过政府订购、定向委托、奖励补助、招投标等方式，引导经营性服务组织参与水稻生产全程社会化服务和畜禽粪污综合利用等公益性服务，培育种粮托管公司、农机作业服务公司、植保专业服务队、果品销售服务等农业经营性服务组织。鼓励新型农业经营主体在发展壮大的同时，尽到社会责任，制订经营区域内扶贫帮困具体细则，为产业扶贫攻坚</w:t>
            </w:r>
            <w:proofErr w:type="gramStart"/>
            <w:r w:rsidRPr="0086246C">
              <w:rPr>
                <w:rFonts w:ascii="宋体" w:eastAsia="宋体" w:hAnsi="宋体" w:cs="宋体"/>
                <w:kern w:val="0"/>
                <w:szCs w:val="21"/>
              </w:rPr>
              <w:t>作出</w:t>
            </w:r>
            <w:proofErr w:type="gramEnd"/>
            <w:r w:rsidRPr="0086246C">
              <w:rPr>
                <w:rFonts w:ascii="宋体" w:eastAsia="宋体" w:hAnsi="宋体" w:cs="宋体"/>
                <w:kern w:val="0"/>
                <w:szCs w:val="21"/>
              </w:rPr>
              <w:t>贡献。</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六）加强新型职业农民培育。鼓励和支持高校毕业生、大学生村官以及农业科技人员投身农业创业，发展一批新型职业农民。大力发展农村职业教育，以种养大户、家庭农场主、合作社理事长、返乡农民工等为重点，加强职业技能培训。2017年全市培育达到0.6万名新型职业农民、2018年达到0.9万名、2020年达到1.5万名。</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七）引导农村土地规范有序流转。积极引导农村土地向新型农业经营主体流转集中，发展适度规模经营。鼓励农户以土地承包经营权作价出资的形式，组建农民合作社。将农村土地流转市场纳入全市农村综合产权交易平台建设，形成市、县、乡、村互联互通的土地流转服务体系。各县（区）要强化农村土地承包纠纷仲裁职能，创新农村土地承包经营权抵押贷款试点，完善农村土地价格评估机制，坚持最严格的耕地保护制度。</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八）推进生产经营方式创新。深入推进农业供给侧结构性改革，把增加优质稻、东乡生猪、南丰蜜桔、崇仁麻鸡、广昌白莲等绿色优质农产品供给放在突出位置，狠抓农产品标准化生产、品牌创建、质量安全监管。引导新型农业经营主体大力推行标准化生产，加快“三品一标”认证步伐，大力开展无公害农产品、绿色食品、有机食品和地理标志农产品认证，积极建立健全农产品质量追溯体系。大力推进农产品品牌建设，鼓励新型农业经营主体通过合作和联营方式，创建地域特色品牌。2017年全市建设绿色有机农产品生产基地达到4个、2018年达到6个、2020年达到10个，全市“三品一标”总数达到500个，其中，无公害农产品335个，绿色有机食品140个，地理标志农产品25个。</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九）推进农产品流通营销平台建设。深入推进农社对接、农超对接，充分利用南昌、上海等成熟的农展会平台，提供市场开拓服务。鼓励龙头企业、农民合作社、家庭农场、种养大户等新型农业经营主体参与农产品电子商务交易，通过以奖代补、引进和培养人才等措施，重点培育农产品电子商务示范县和农产品电子商务示范企业。到2020年，全市实现每个县有电子商务园、每个乡镇有电子商务中心、每个村有电子商务服务点，培训农村电商从业人员超过1万人，培育2-3家网络交易额超过1亿元的农业骨干企业，农产品网络销售额超过50亿元。</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lastRenderedPageBreak/>
              <w:t xml:space="preserve">　　三、强化政策保障</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一）加大财政投入。探索建立财政扶持新型农业经营主体发展稳定增长机制，整合涉农项目资金向新型农业经营主体倾斜，重点扶持粮食生产、畜禽养殖、南丰蜜桔、广昌白莲、资溪白茶、金溪蜜梨、宜黄水稻制种、农机服务等专业大户和家庭农场，引进优良品种，开展试验示范。加大对农民合作社、龙头企业的支持力度，扶持发展农产品贮藏、加工、流通，优先支持龙头企业贷款贴息、农产品精深加工、生产基地建设、上市奖励和品牌建设。</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二）强化金融支持。鼓励金融机构开发适应新型农业经营主体需要的产品和服务，扩大贷款抵、质押品范围，开展应收账款质押、仓单质押、现金担保等权利和动产抵、质押，积极推广供应链融资、物流融资等金融产品。扩大全市“财政惠农信贷通”融资规模，带动金融资金加大对农民合作社信贷投入。支持政策性融资担保机构加强担保产品研发，创新反担保方式，降低担保条件，为符合条件的新型农业经营主体提供担保支持。落实支持农业保险发展的各项政策，大力扶持“一村一品”特色农业保险，积极做好政策性水稻保险、油菜保险、</w:t>
            </w:r>
            <w:proofErr w:type="gramStart"/>
            <w:r w:rsidRPr="0086246C">
              <w:rPr>
                <w:rFonts w:ascii="宋体" w:eastAsia="宋体" w:hAnsi="宋体" w:cs="宋体"/>
                <w:kern w:val="0"/>
                <w:szCs w:val="21"/>
              </w:rPr>
              <w:t>能繁母猪</w:t>
            </w:r>
            <w:proofErr w:type="gramEnd"/>
            <w:r w:rsidRPr="0086246C">
              <w:rPr>
                <w:rFonts w:ascii="宋体" w:eastAsia="宋体" w:hAnsi="宋体" w:cs="宋体"/>
                <w:kern w:val="0"/>
                <w:szCs w:val="21"/>
              </w:rPr>
              <w:t>保险、生猪保险、商品林等政策性农业保险扩面、提标，加大支持南丰蜜桔、广昌白莲、肉牛、蛋鸡、麻鸡、烟草、水稻产量、大棚蔬菜、茶叶等地方农业保险力度，以及大型农业机械保险、互助合作保险，逐步扩大农业保险的覆盖面。</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三）加强税收优惠支持。对被认定为高新技术企业的新型农业经营主体，减按15%的税率征收企业所得税。对新型农业经营主体从事灌溉、农产品初加工、兽医、农技推广、农机作业和维修等农、林、牧、渔服务业项目，按有关政策免征企业所得税。从事农业机械作业服务、排灌、病虫害防治、植物保护、农牧保险以及相关技术培训业务，家禽、牲畜、水生动物的配种和疾病防治取得的收入免征增值税。</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四）完善用地用电政策。对新型农业经营主体在农业项目区内，直接用于或者服务于提供农业社会化服务的生物质（有机）肥料生产设施、晾晒场、粮食播种育秧、粮食烘干设施、农机具停放和维修保养场所等附属、配套设施的用地，</w:t>
            </w:r>
            <w:proofErr w:type="gramStart"/>
            <w:r w:rsidRPr="0086246C">
              <w:rPr>
                <w:rFonts w:ascii="宋体" w:eastAsia="宋体" w:hAnsi="宋体" w:cs="宋体"/>
                <w:kern w:val="0"/>
                <w:szCs w:val="21"/>
              </w:rPr>
              <w:t>按设施</w:t>
            </w:r>
            <w:proofErr w:type="gramEnd"/>
            <w:r w:rsidRPr="0086246C">
              <w:rPr>
                <w:rFonts w:ascii="宋体" w:eastAsia="宋体" w:hAnsi="宋体" w:cs="宋体"/>
                <w:kern w:val="0"/>
                <w:szCs w:val="21"/>
              </w:rPr>
              <w:t>农用地管理，不需要办理农用地转用审批手续。新型农业经营主体提供种养生产服务用电，按农业生产用电价格执行。</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四、加强组织领导</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（一）强化领导责任。各地各有关部门要切实加强对新型农业经营主体发展工作的组织领导，将这项工作列入重要议事日程抓实抓好。要</w:t>
            </w:r>
            <w:proofErr w:type="gramStart"/>
            <w:r w:rsidRPr="0086246C">
              <w:rPr>
                <w:rFonts w:ascii="宋体" w:eastAsia="宋体" w:hAnsi="宋体" w:cs="宋体"/>
                <w:kern w:val="0"/>
                <w:szCs w:val="21"/>
              </w:rPr>
              <w:t>完善部门</w:t>
            </w:r>
            <w:proofErr w:type="gramEnd"/>
            <w:r w:rsidRPr="0086246C">
              <w:rPr>
                <w:rFonts w:ascii="宋体" w:eastAsia="宋体" w:hAnsi="宋体" w:cs="宋体"/>
                <w:kern w:val="0"/>
                <w:szCs w:val="21"/>
              </w:rPr>
              <w:lastRenderedPageBreak/>
              <w:t>沟通协调机制，形成责权明确、分工协作、齐抓共管的工作格局，及时研究解决发展中的突出矛盾和重大问题。</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（二）</w:t>
            </w:r>
            <w:proofErr w:type="gramStart"/>
            <w:r w:rsidRPr="0086246C">
              <w:rPr>
                <w:rFonts w:ascii="宋体" w:eastAsia="宋体" w:hAnsi="宋体" w:cs="宋体"/>
                <w:kern w:val="0"/>
                <w:szCs w:val="21"/>
              </w:rPr>
              <w:t>明确部门</w:t>
            </w:r>
            <w:proofErr w:type="gramEnd"/>
            <w:r w:rsidRPr="0086246C">
              <w:rPr>
                <w:rFonts w:ascii="宋体" w:eastAsia="宋体" w:hAnsi="宋体" w:cs="宋体"/>
                <w:kern w:val="0"/>
                <w:szCs w:val="21"/>
              </w:rPr>
              <w:t>职责。农业部门要加强对新型农业经营主体发展的统筹规划和督促指导，加快健全新型农业经营主体指导服务体系，提供政策、技术、信息、品牌培植和质量安全等服务。市场监管部门要简化程序、精简手续、放宽条件，为注册登记开辟快速通道。财政、税务、国土资源、商务、林业、水利、供销、金融等有关单位要在各自职责范围内，积极推进有关工作。</w:t>
            </w:r>
          </w:p>
          <w:p w:rsidR="0086246C" w:rsidRPr="0086246C" w:rsidRDefault="0086246C" w:rsidP="0086246C">
            <w:pPr>
              <w:widowControl/>
              <w:wordWrap w:val="0"/>
              <w:spacing w:before="100" w:beforeAutospacing="1" w:after="100" w:afterAutospacing="1" w:line="360" w:lineRule="atLeast"/>
              <w:jc w:val="left"/>
              <w:rPr>
                <w:rFonts w:ascii="宋体" w:eastAsia="宋体" w:hAnsi="宋体" w:cs="宋体"/>
                <w:kern w:val="0"/>
                <w:szCs w:val="21"/>
              </w:rPr>
            </w:pPr>
            <w:r w:rsidRPr="0086246C">
              <w:rPr>
                <w:rFonts w:ascii="宋体" w:eastAsia="宋体" w:hAnsi="宋体" w:cs="宋体"/>
                <w:kern w:val="0"/>
                <w:szCs w:val="21"/>
              </w:rPr>
              <w:t xml:space="preserve">　　（三）强化督查考核。建立科学、统一、规范的新型农业经营主体统计考核制度，将发展新型农业经营主体纳入市政府对市直部门及县（区）政府绩效考核评价指标体系，不定期开展督导和检查，对政策不落实、服务不到位、工作不得力的地方和部门要追究责任，对做得好的予以表彰，确保新型农业经营主体发展工作顺利推进。</w:t>
            </w:r>
          </w:p>
        </w:tc>
      </w:tr>
    </w:tbl>
    <w:p w:rsidR="0033496E" w:rsidRPr="0086246C" w:rsidRDefault="0033496E"/>
    <w:sectPr w:rsidR="0033496E" w:rsidRPr="008624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46C"/>
    <w:rsid w:val="0033496E"/>
    <w:rsid w:val="00862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FB27D-EE87-4404-B9C7-65179C2F3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101">
    <w:name w:val="style101"/>
    <w:basedOn w:val="a0"/>
    <w:rsid w:val="0086246C"/>
    <w:rPr>
      <w:b/>
      <w:bCs/>
      <w:i w:val="0"/>
      <w:iCs w:val="0"/>
      <w:strike w:val="0"/>
      <w:dstrike w:val="0"/>
      <w:sz w:val="21"/>
      <w:szCs w:val="21"/>
      <w:u w:val="none"/>
      <w:effect w:val="none"/>
    </w:rPr>
  </w:style>
  <w:style w:type="character" w:styleId="a3">
    <w:name w:val="Strong"/>
    <w:basedOn w:val="a0"/>
    <w:uiPriority w:val="22"/>
    <w:qFormat/>
    <w:rsid w:val="0086246C"/>
    <w:rPr>
      <w:b/>
      <w:bCs/>
    </w:rPr>
  </w:style>
  <w:style w:type="paragraph" w:styleId="a4">
    <w:name w:val="Normal (Web)"/>
    <w:basedOn w:val="a"/>
    <w:uiPriority w:val="99"/>
    <w:semiHidden/>
    <w:unhideWhenUsed/>
    <w:rsid w:val="0086246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244529">
      <w:bodyDiv w:val="1"/>
      <w:marLeft w:val="0"/>
      <w:marRight w:val="0"/>
      <w:marTop w:val="0"/>
      <w:marBottom w:val="0"/>
      <w:divBdr>
        <w:top w:val="none" w:sz="0" w:space="0" w:color="auto"/>
        <w:left w:val="none" w:sz="0" w:space="0" w:color="auto"/>
        <w:bottom w:val="none" w:sz="0" w:space="0" w:color="auto"/>
        <w:right w:val="none" w:sz="0" w:space="0" w:color="auto"/>
      </w:divBdr>
      <w:divsChild>
        <w:div w:id="24067269">
          <w:marLeft w:val="0"/>
          <w:marRight w:val="0"/>
          <w:marTop w:val="0"/>
          <w:marBottom w:val="0"/>
          <w:divBdr>
            <w:top w:val="none" w:sz="0" w:space="0" w:color="auto"/>
            <w:left w:val="none" w:sz="0" w:space="0" w:color="auto"/>
            <w:bottom w:val="none" w:sz="0" w:space="0" w:color="auto"/>
            <w:right w:val="none" w:sz="0" w:space="0" w:color="auto"/>
          </w:divBdr>
          <w:divsChild>
            <w:div w:id="125771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2018-05-22T07:53:00Z</dcterms:created>
  <dcterms:modified xsi:type="dcterms:W3CDTF">2018-05-22T07:53:00Z</dcterms:modified>
</cp:coreProperties>
</file>