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FBA39" w14:textId="77777777" w:rsidR="00552FED" w:rsidRDefault="00552FED" w:rsidP="00552FED">
      <w:pPr>
        <w:pStyle w:val="a3"/>
        <w:spacing w:before="0" w:beforeAutospacing="0" w:after="0" w:afterAutospacing="0"/>
        <w:jc w:val="center"/>
        <w:rPr>
          <w:rFonts w:ascii="&amp;quot" w:hAnsi="&amp;quot"/>
          <w:color w:val="333333"/>
        </w:rPr>
      </w:pPr>
      <w:r>
        <w:rPr>
          <w:rStyle w:val="a4"/>
          <w:rFonts w:ascii="&amp;quot" w:hAnsi="&amp;quot"/>
          <w:color w:val="333333"/>
          <w:sz w:val="27"/>
          <w:szCs w:val="27"/>
          <w:bdr w:val="none" w:sz="0" w:space="0" w:color="auto" w:frame="1"/>
        </w:rPr>
        <w:t>临</w:t>
      </w:r>
      <w:r>
        <w:rPr>
          <w:rStyle w:val="a4"/>
          <w:rFonts w:ascii="&amp;quot" w:hAnsi="&amp;quot"/>
          <w:color w:val="333333"/>
          <w:sz w:val="27"/>
          <w:szCs w:val="27"/>
          <w:bdr w:val="none" w:sz="0" w:space="0" w:color="auto" w:frame="1"/>
        </w:rPr>
        <w:t xml:space="preserve"> </w:t>
      </w:r>
      <w:proofErr w:type="gramStart"/>
      <w:r>
        <w:rPr>
          <w:rStyle w:val="a4"/>
          <w:rFonts w:ascii="&amp;quot" w:hAnsi="&amp;quot"/>
          <w:color w:val="333333"/>
          <w:sz w:val="27"/>
          <w:szCs w:val="27"/>
          <w:bdr w:val="none" w:sz="0" w:space="0" w:color="auto" w:frame="1"/>
        </w:rPr>
        <w:t>汾</w:t>
      </w:r>
      <w:proofErr w:type="gramEnd"/>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市</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人</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民</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政</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府</w:t>
      </w:r>
      <w:r>
        <w:rPr>
          <w:rFonts w:ascii="&amp;quot" w:hAnsi="&amp;quot"/>
          <w:b/>
          <w:bCs/>
          <w:color w:val="333333"/>
          <w:sz w:val="27"/>
          <w:szCs w:val="27"/>
          <w:bdr w:val="none" w:sz="0" w:space="0" w:color="auto" w:frame="1"/>
        </w:rPr>
        <w:br/>
      </w:r>
    </w:p>
    <w:p w14:paraId="7A37EC5A" w14:textId="77777777" w:rsidR="00552FED" w:rsidRDefault="00552FED" w:rsidP="00552FED">
      <w:pPr>
        <w:pStyle w:val="a3"/>
        <w:spacing w:before="0" w:beforeAutospacing="0" w:after="0" w:afterAutospacing="0"/>
        <w:jc w:val="center"/>
        <w:rPr>
          <w:rFonts w:ascii="&amp;quot" w:hAnsi="&amp;quot"/>
          <w:color w:val="333333"/>
        </w:rPr>
      </w:pPr>
      <w:r>
        <w:rPr>
          <w:rStyle w:val="a4"/>
          <w:rFonts w:ascii="&amp;quot" w:hAnsi="&amp;quot"/>
          <w:color w:val="333333"/>
          <w:sz w:val="27"/>
          <w:szCs w:val="27"/>
          <w:bdr w:val="none" w:sz="0" w:space="0" w:color="auto" w:frame="1"/>
        </w:rPr>
        <w:t>关于加快股权投资基金业发展的若干意见</w:t>
      </w:r>
    </w:p>
    <w:p w14:paraId="4E733C1E"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b/>
          <w:bCs/>
          <w:color w:val="333333"/>
          <w:sz w:val="27"/>
          <w:szCs w:val="27"/>
          <w:bdr w:val="none" w:sz="0" w:space="0" w:color="auto" w:frame="1"/>
        </w:rPr>
        <w:br/>
      </w:r>
    </w:p>
    <w:p w14:paraId="35D63BD1"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各县、市、区人民政府，临汾、侯马经济开发区管委会，壶口风景区管委会，市直有关部门：</w:t>
      </w:r>
    </w:p>
    <w:p w14:paraId="76C1907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为进一步推动我市多层次资本市场建设，优化资源配置，拓宽融资渠道，提高直接融资比重，有效降低融资成本和杠杆率，充分发挥股权投资基金促进实体经济发展的重要作用，结合我市实际，现就加快我市股权投资基金业发展提出以下意见。</w:t>
      </w:r>
    </w:p>
    <w:p w14:paraId="7AD15497"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一、</w:t>
      </w:r>
      <w:r>
        <w:rPr>
          <w:rStyle w:val="a4"/>
          <w:rFonts w:ascii="&amp;quot" w:hAnsi="&amp;quot"/>
          <w:color w:val="333333"/>
          <w:bdr w:val="none" w:sz="0" w:space="0" w:color="auto" w:frame="1"/>
        </w:rPr>
        <w:t xml:space="preserve"> </w:t>
      </w:r>
      <w:r>
        <w:rPr>
          <w:rStyle w:val="a4"/>
          <w:rFonts w:ascii="&amp;quot" w:hAnsi="&amp;quot"/>
          <w:color w:val="333333"/>
          <w:bdr w:val="none" w:sz="0" w:space="0" w:color="auto" w:frame="1"/>
        </w:rPr>
        <w:t>充分认识加快发展股权投资基金业的重要意义</w:t>
      </w:r>
    </w:p>
    <w:p w14:paraId="4BA719D1"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股权投资基金是企业拓宽融资渠道、降低负债水平的重要方式，是优化政府资源配置，推动供给侧结构性改革的重要手段，在促进经济发展中发挥着重要作用。目前，我市股权投资基金业发展相对滞后，市场</w:t>
      </w:r>
      <w:proofErr w:type="gramStart"/>
      <w:r>
        <w:rPr>
          <w:rFonts w:ascii="&amp;quot" w:hAnsi="&amp;quot"/>
          <w:color w:val="333333"/>
        </w:rPr>
        <w:t>发育仍</w:t>
      </w:r>
      <w:proofErr w:type="gramEnd"/>
      <w:r>
        <w:rPr>
          <w:rFonts w:ascii="&amp;quot" w:hAnsi="&amp;quot"/>
          <w:color w:val="333333"/>
        </w:rPr>
        <w:t>不充分，企业融资结构性矛盾依然突出。要将大力发展各类股权投资基金作为落实市委</w:t>
      </w:r>
      <w:r>
        <w:rPr>
          <w:rFonts w:ascii="&amp;quot" w:hAnsi="&amp;quot"/>
          <w:color w:val="333333"/>
        </w:rPr>
        <w:t>“345”</w:t>
      </w:r>
      <w:r>
        <w:rPr>
          <w:rFonts w:ascii="&amp;quot" w:hAnsi="&amp;quot"/>
          <w:color w:val="333333"/>
        </w:rPr>
        <w:t>发展战略和市政府</w:t>
      </w:r>
      <w:r>
        <w:rPr>
          <w:rFonts w:ascii="&amp;quot" w:hAnsi="&amp;quot"/>
          <w:color w:val="333333"/>
        </w:rPr>
        <w:t>“12345”</w:t>
      </w:r>
      <w:r>
        <w:rPr>
          <w:rFonts w:ascii="&amp;quot" w:hAnsi="&amp;quot"/>
          <w:color w:val="333333"/>
        </w:rPr>
        <w:t>工作思路的重要举措，充分发挥我市能源、文化、旅游等资源禀赋优势，激发社会资本投资活力，支持我市重点产业发展，实现我市经济转型升级发展。</w:t>
      </w:r>
    </w:p>
    <w:p w14:paraId="64965598"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二、</w:t>
      </w:r>
      <w:r>
        <w:rPr>
          <w:rStyle w:val="a4"/>
          <w:rFonts w:ascii="&amp;quot" w:hAnsi="&amp;quot"/>
          <w:color w:val="333333"/>
          <w:bdr w:val="none" w:sz="0" w:space="0" w:color="auto" w:frame="1"/>
        </w:rPr>
        <w:t xml:space="preserve"> </w:t>
      </w:r>
      <w:r>
        <w:rPr>
          <w:rStyle w:val="a4"/>
          <w:rFonts w:ascii="&amp;quot" w:hAnsi="&amp;quot"/>
          <w:color w:val="333333"/>
          <w:bdr w:val="none" w:sz="0" w:space="0" w:color="auto" w:frame="1"/>
        </w:rPr>
        <w:t>明确发展目标任务</w:t>
      </w:r>
    </w:p>
    <w:p w14:paraId="765E8CEB"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（一）培育发展各类基金。</w:t>
      </w:r>
      <w:r>
        <w:rPr>
          <w:rFonts w:ascii="&amp;quot" w:hAnsi="&amp;quot"/>
          <w:color w:val="333333"/>
        </w:rPr>
        <w:t>根据企业不同发展阶段，培育创业投资、私</w:t>
      </w:r>
      <w:proofErr w:type="gramStart"/>
      <w:r>
        <w:rPr>
          <w:rFonts w:ascii="&amp;quot" w:hAnsi="&amp;quot"/>
          <w:color w:val="333333"/>
        </w:rPr>
        <w:t>募股权</w:t>
      </w:r>
      <w:proofErr w:type="gramEnd"/>
      <w:r>
        <w:rPr>
          <w:rFonts w:ascii="&amp;quot" w:hAnsi="&amp;quot"/>
          <w:color w:val="333333"/>
        </w:rPr>
        <w:t>投资、产业投资基金等不同类型的股权投资基金，为企业全生命周期提供各类股权投资基金产品。</w:t>
      </w:r>
    </w:p>
    <w:p w14:paraId="2451185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（二）支持基金机构设立。</w:t>
      </w:r>
      <w:r>
        <w:rPr>
          <w:rFonts w:ascii="&amp;quot" w:hAnsi="&amp;quot"/>
          <w:color w:val="333333"/>
        </w:rPr>
        <w:t>加强与境外知名股权投资机构合作，吸引各类股权投资基金在我市设立管理机构或业务总部，依法合</w:t>
      </w:r>
      <w:proofErr w:type="gramStart"/>
      <w:r>
        <w:rPr>
          <w:rFonts w:ascii="&amp;quot" w:hAnsi="&amp;quot"/>
          <w:color w:val="333333"/>
        </w:rPr>
        <w:t>规</w:t>
      </w:r>
      <w:proofErr w:type="gramEnd"/>
      <w:r>
        <w:rPr>
          <w:rFonts w:ascii="&amp;quot" w:hAnsi="&amp;quot"/>
          <w:color w:val="333333"/>
        </w:rPr>
        <w:t>发起设立各类股权投资基金。到</w:t>
      </w:r>
      <w:r>
        <w:rPr>
          <w:rFonts w:ascii="&amp;quot" w:hAnsi="&amp;quot"/>
          <w:color w:val="333333"/>
        </w:rPr>
        <w:t>2020</w:t>
      </w:r>
      <w:r>
        <w:rPr>
          <w:rFonts w:ascii="&amp;quot" w:hAnsi="&amp;quot"/>
          <w:color w:val="333333"/>
        </w:rPr>
        <w:t>年，力争全市股权投资管理机构达到</w:t>
      </w:r>
      <w:r>
        <w:rPr>
          <w:rFonts w:ascii="&amp;quot" w:hAnsi="&amp;quot"/>
          <w:color w:val="333333"/>
        </w:rPr>
        <w:t>30</w:t>
      </w:r>
      <w:r>
        <w:rPr>
          <w:rFonts w:ascii="&amp;quot" w:hAnsi="&amp;quot"/>
          <w:color w:val="333333"/>
        </w:rPr>
        <w:t>家，股权投资基金管理规模达到</w:t>
      </w:r>
      <w:r>
        <w:rPr>
          <w:rFonts w:ascii="&amp;quot" w:hAnsi="&amp;quot"/>
          <w:color w:val="333333"/>
        </w:rPr>
        <w:t>100</w:t>
      </w:r>
      <w:r>
        <w:rPr>
          <w:rFonts w:ascii="&amp;quot" w:hAnsi="&amp;quot"/>
          <w:color w:val="333333"/>
        </w:rPr>
        <w:t>亿以上。</w:t>
      </w:r>
    </w:p>
    <w:p w14:paraId="5620B7D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（三）鼓励基金聚集发展。</w:t>
      </w:r>
      <w:r>
        <w:rPr>
          <w:rFonts w:ascii="&amp;quot" w:hAnsi="&amp;quot"/>
          <w:color w:val="333333"/>
        </w:rPr>
        <w:t>支持在临汾经济开发区、侯马经济开发区设立基金集聚区，吸引各类股权投资基金落户，围绕开发区定位创设各类基金产品；完善集聚区内基金业服务体系和基础服务设施建设。鼓励有条件的县（市、区）设立基金产业园、基金小镇。</w:t>
      </w:r>
    </w:p>
    <w:p w14:paraId="403ACB2A"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（四）推动政府投资基金发展。</w:t>
      </w:r>
      <w:r>
        <w:rPr>
          <w:rFonts w:ascii="&amp;quot" w:hAnsi="&amp;quot"/>
          <w:color w:val="333333"/>
        </w:rPr>
        <w:t>借鉴发达省、市经验，加大创新力度，推动政府投资基金发展，吸引更多社会资本参与，培育和发展私</w:t>
      </w:r>
      <w:proofErr w:type="gramStart"/>
      <w:r>
        <w:rPr>
          <w:rFonts w:ascii="&amp;quot" w:hAnsi="&amp;quot"/>
          <w:color w:val="333333"/>
        </w:rPr>
        <w:t>募股权基金</w:t>
      </w:r>
      <w:proofErr w:type="gramEnd"/>
      <w:r>
        <w:rPr>
          <w:rFonts w:ascii="&amp;quot" w:hAnsi="&amp;quot"/>
          <w:color w:val="333333"/>
        </w:rPr>
        <w:t>市场主体，带动全市股权投资基金业发展。</w:t>
      </w:r>
    </w:p>
    <w:p w14:paraId="2A90EC57"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三、健全政策扶持体系</w:t>
      </w:r>
    </w:p>
    <w:p w14:paraId="14C79688"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（一）适用范围</w:t>
      </w:r>
    </w:p>
    <w:p w14:paraId="47E6997A"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本意见所列扶持政策适用于按照国家有关法律法规规定，以公司制、合伙制、契约制等形式设立，开展创业投资、私</w:t>
      </w:r>
      <w:proofErr w:type="gramStart"/>
      <w:r>
        <w:rPr>
          <w:rFonts w:ascii="&amp;quot" w:hAnsi="&amp;quot"/>
          <w:color w:val="333333"/>
        </w:rPr>
        <w:t>募股权</w:t>
      </w:r>
      <w:proofErr w:type="gramEnd"/>
      <w:r>
        <w:rPr>
          <w:rFonts w:ascii="&amp;quot" w:hAnsi="&amp;quot"/>
          <w:color w:val="333333"/>
        </w:rPr>
        <w:t>投资、产业投资的股权投资基金，以及上述基金的管理机构，且符合以下全部条件的股权投资类企业：</w:t>
      </w:r>
    </w:p>
    <w:p w14:paraId="749AAE64"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1.2015</w:t>
      </w:r>
      <w:r>
        <w:rPr>
          <w:rFonts w:ascii="&amp;quot" w:hAnsi="&amp;quot"/>
          <w:color w:val="333333"/>
        </w:rPr>
        <w:t>年</w:t>
      </w:r>
      <w:r>
        <w:rPr>
          <w:rFonts w:ascii="&amp;quot" w:hAnsi="&amp;quot"/>
          <w:color w:val="333333"/>
        </w:rPr>
        <w:t>1</w:t>
      </w:r>
      <w:r>
        <w:rPr>
          <w:rFonts w:ascii="&amp;quot" w:hAnsi="&amp;quot"/>
          <w:color w:val="333333"/>
        </w:rPr>
        <w:t>月</w:t>
      </w:r>
      <w:r>
        <w:rPr>
          <w:rFonts w:ascii="&amp;quot" w:hAnsi="&amp;quot"/>
          <w:color w:val="333333"/>
        </w:rPr>
        <w:t>1</w:t>
      </w:r>
      <w:r>
        <w:rPr>
          <w:rFonts w:ascii="&amp;quot" w:hAnsi="&amp;quot"/>
          <w:color w:val="333333"/>
        </w:rPr>
        <w:t>日至</w:t>
      </w:r>
      <w:r>
        <w:rPr>
          <w:rFonts w:ascii="&amp;quot" w:hAnsi="&amp;quot"/>
          <w:color w:val="333333"/>
        </w:rPr>
        <w:t>2020</w:t>
      </w:r>
      <w:r>
        <w:rPr>
          <w:rFonts w:ascii="&amp;quot" w:hAnsi="&amp;quot"/>
          <w:color w:val="333333"/>
        </w:rPr>
        <w:t>年</w:t>
      </w:r>
      <w:r>
        <w:rPr>
          <w:rFonts w:ascii="&amp;quot" w:hAnsi="&amp;quot"/>
          <w:color w:val="333333"/>
        </w:rPr>
        <w:t>12</w:t>
      </w:r>
      <w:r>
        <w:rPr>
          <w:rFonts w:ascii="&amp;quot" w:hAnsi="&amp;quot"/>
          <w:color w:val="333333"/>
        </w:rPr>
        <w:t>月</w:t>
      </w:r>
      <w:r>
        <w:rPr>
          <w:rFonts w:ascii="&amp;quot" w:hAnsi="&amp;quot"/>
          <w:color w:val="333333"/>
        </w:rPr>
        <w:t>31</w:t>
      </w:r>
      <w:r>
        <w:rPr>
          <w:rFonts w:ascii="&amp;quot" w:hAnsi="&amp;quot"/>
          <w:color w:val="333333"/>
        </w:rPr>
        <w:t>日在临汾市内办理工商注册和纳税登记；</w:t>
      </w:r>
    </w:p>
    <w:p w14:paraId="6D2120B2"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lastRenderedPageBreak/>
        <w:t xml:space="preserve">　　</w:t>
      </w:r>
      <w:r>
        <w:rPr>
          <w:rFonts w:ascii="&amp;quot" w:hAnsi="&amp;quot"/>
          <w:color w:val="333333"/>
        </w:rPr>
        <w:t xml:space="preserve">2. </w:t>
      </w:r>
      <w:r>
        <w:rPr>
          <w:rFonts w:ascii="&amp;quot" w:hAnsi="&amp;quot"/>
          <w:color w:val="333333"/>
        </w:rPr>
        <w:t>私募投资基金管理人在中国证券投资基金业协会登记，所管理的基金在中国证券投资基金业协会备案；</w:t>
      </w:r>
    </w:p>
    <w:p w14:paraId="2AF03BE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 xml:space="preserve">3. </w:t>
      </w:r>
      <w:r>
        <w:rPr>
          <w:rFonts w:ascii="&amp;quot" w:hAnsi="&amp;quot"/>
          <w:color w:val="333333"/>
        </w:rPr>
        <w:t>按实际到位资金计算，创业投资基金规模不低于</w:t>
      </w:r>
      <w:r>
        <w:rPr>
          <w:rFonts w:ascii="&amp;quot" w:hAnsi="&amp;quot"/>
          <w:color w:val="333333"/>
        </w:rPr>
        <w:t>1</w:t>
      </w:r>
      <w:r>
        <w:rPr>
          <w:rFonts w:ascii="&amp;quot" w:hAnsi="&amp;quot"/>
          <w:color w:val="333333"/>
        </w:rPr>
        <w:t>亿元人民币，私</w:t>
      </w:r>
      <w:proofErr w:type="gramStart"/>
      <w:r>
        <w:rPr>
          <w:rFonts w:ascii="&amp;quot" w:hAnsi="&amp;quot"/>
          <w:color w:val="333333"/>
        </w:rPr>
        <w:t>募股权投资</w:t>
      </w:r>
      <w:proofErr w:type="gramEnd"/>
      <w:r>
        <w:rPr>
          <w:rFonts w:ascii="&amp;quot" w:hAnsi="&amp;quot"/>
          <w:color w:val="333333"/>
        </w:rPr>
        <w:t>基金规模不低于</w:t>
      </w:r>
      <w:r>
        <w:rPr>
          <w:rFonts w:ascii="&amp;quot" w:hAnsi="&amp;quot"/>
          <w:color w:val="333333"/>
        </w:rPr>
        <w:t>2</w:t>
      </w:r>
      <w:r>
        <w:rPr>
          <w:rFonts w:ascii="&amp;quot" w:hAnsi="&amp;quot"/>
          <w:color w:val="333333"/>
        </w:rPr>
        <w:t>亿元人民币，产业投资基金规模不低于</w:t>
      </w:r>
      <w:r>
        <w:rPr>
          <w:rFonts w:ascii="&amp;quot" w:hAnsi="&amp;quot"/>
          <w:color w:val="333333"/>
        </w:rPr>
        <w:t>5</w:t>
      </w:r>
      <w:r>
        <w:rPr>
          <w:rFonts w:ascii="&amp;quot" w:hAnsi="&amp;quot"/>
          <w:color w:val="333333"/>
        </w:rPr>
        <w:t>亿元人民币。</w:t>
      </w:r>
    </w:p>
    <w:p w14:paraId="5D380F9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（二）扶持政策</w:t>
      </w:r>
    </w:p>
    <w:p w14:paraId="4ABC31C2"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1.</w:t>
      </w:r>
      <w:r>
        <w:rPr>
          <w:rFonts w:ascii="&amp;quot" w:hAnsi="&amp;quot"/>
          <w:color w:val="333333"/>
        </w:rPr>
        <w:t>税收支持政策。认真执行财政部、国家税务总局各项税收支持政策。</w:t>
      </w:r>
    </w:p>
    <w:p w14:paraId="30CDC801"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1</w:t>
      </w:r>
      <w:r>
        <w:rPr>
          <w:rFonts w:ascii="&amp;quot" w:hAnsi="&amp;quot"/>
          <w:color w:val="333333"/>
        </w:rPr>
        <w:t>）企业所得税。</w:t>
      </w:r>
    </w:p>
    <w:p w14:paraId="617E90B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①</w:t>
      </w:r>
      <w:r>
        <w:rPr>
          <w:rFonts w:ascii="&amp;quot" w:hAnsi="&amp;quot"/>
          <w:color w:val="333333"/>
        </w:rPr>
        <w:t>符合居民企业条件的股权投资类企业直接投资其他居民企业所得的股息、红利等权益性投资收益，符合税法规定的，可作为免税收入，免征企业所得税。</w:t>
      </w:r>
    </w:p>
    <w:p w14:paraId="4F83ED0A"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在</w:t>
      </w:r>
      <w:proofErr w:type="gramStart"/>
      <w:r>
        <w:rPr>
          <w:rFonts w:ascii="&amp;quot" w:hAnsi="&amp;quot"/>
          <w:color w:val="333333"/>
        </w:rPr>
        <w:t>省发改</w:t>
      </w:r>
      <w:proofErr w:type="gramEnd"/>
      <w:r>
        <w:rPr>
          <w:rFonts w:ascii="&amp;quot" w:hAnsi="&amp;quot"/>
          <w:color w:val="333333"/>
        </w:rPr>
        <w:t>委备案并经年度检查核实，投资运作符合有关规定的创业投资企业采取股权投资方式投资未上市的中小高新技术企业</w:t>
      </w:r>
      <w:r>
        <w:rPr>
          <w:rFonts w:ascii="&amp;quot" w:hAnsi="&amp;quot"/>
          <w:color w:val="333333"/>
        </w:rPr>
        <w:t>24</w:t>
      </w:r>
      <w:r>
        <w:rPr>
          <w:rFonts w:ascii="&amp;quot" w:hAnsi="&amp;quot"/>
          <w:color w:val="333333"/>
        </w:rPr>
        <w:t>个月以上，可按其对中小高新技术企业投资额的</w:t>
      </w:r>
      <w:r>
        <w:rPr>
          <w:rFonts w:ascii="&amp;quot" w:hAnsi="&amp;quot"/>
          <w:color w:val="333333"/>
        </w:rPr>
        <w:t>70%</w:t>
      </w:r>
      <w:r>
        <w:rPr>
          <w:rFonts w:ascii="&amp;quot" w:hAnsi="&amp;quot"/>
          <w:color w:val="333333"/>
        </w:rPr>
        <w:t>，在股权持有满</w:t>
      </w:r>
      <w:r>
        <w:rPr>
          <w:rFonts w:ascii="&amp;quot" w:hAnsi="&amp;quot"/>
          <w:color w:val="333333"/>
        </w:rPr>
        <w:t>24</w:t>
      </w:r>
      <w:r>
        <w:rPr>
          <w:rFonts w:ascii="&amp;quot" w:hAnsi="&amp;quot"/>
          <w:color w:val="333333"/>
        </w:rPr>
        <w:t>个月的当年抵扣</w:t>
      </w:r>
      <w:proofErr w:type="gramStart"/>
      <w:r>
        <w:rPr>
          <w:rFonts w:ascii="&amp;quot" w:hAnsi="&amp;quot"/>
          <w:color w:val="333333"/>
        </w:rPr>
        <w:t>该创业</w:t>
      </w:r>
      <w:proofErr w:type="gramEnd"/>
      <w:r>
        <w:rPr>
          <w:rFonts w:ascii="&amp;quot" w:hAnsi="&amp;quot"/>
          <w:color w:val="333333"/>
        </w:rPr>
        <w:t>投资企业的应纳税所得额；当年不足抵扣的，可结转至以后纳税年度抵扣。有限合伙</w:t>
      </w:r>
      <w:proofErr w:type="gramStart"/>
      <w:r>
        <w:rPr>
          <w:rFonts w:ascii="&amp;quot" w:hAnsi="&amp;quot"/>
          <w:color w:val="333333"/>
        </w:rPr>
        <w:t>制创业</w:t>
      </w:r>
      <w:proofErr w:type="gramEnd"/>
      <w:r>
        <w:rPr>
          <w:rFonts w:ascii="&amp;quot" w:hAnsi="&amp;quot"/>
          <w:color w:val="333333"/>
        </w:rPr>
        <w:t>投资企业的法人合伙人参照执行。</w:t>
      </w:r>
    </w:p>
    <w:p w14:paraId="132989ED"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③</w:t>
      </w:r>
      <w:r>
        <w:rPr>
          <w:rFonts w:ascii="&amp;quot" w:hAnsi="&amp;quot"/>
          <w:color w:val="333333"/>
        </w:rPr>
        <w:t>以有限合伙形式设立的股权投资类企业，可采取</w:t>
      </w:r>
      <w:r>
        <w:rPr>
          <w:rFonts w:ascii="&amp;quot" w:hAnsi="&amp;quot"/>
          <w:color w:val="333333"/>
        </w:rPr>
        <w:t>“</w:t>
      </w:r>
      <w:r>
        <w:rPr>
          <w:rFonts w:ascii="&amp;quot" w:hAnsi="&amp;quot"/>
          <w:color w:val="333333"/>
        </w:rPr>
        <w:t>先分后税</w:t>
      </w:r>
      <w:r>
        <w:rPr>
          <w:rFonts w:ascii="&amp;quot" w:hAnsi="&amp;quot"/>
          <w:color w:val="333333"/>
        </w:rPr>
        <w:t>”</w:t>
      </w:r>
      <w:r>
        <w:rPr>
          <w:rFonts w:ascii="&amp;quot" w:hAnsi="&amp;quot"/>
          <w:color w:val="333333"/>
        </w:rPr>
        <w:t>的方式，按照国家有关税收规定，其经营和其他所得由合伙人分别纳税。</w:t>
      </w:r>
    </w:p>
    <w:p w14:paraId="3B9D1527"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2</w:t>
      </w:r>
      <w:r>
        <w:rPr>
          <w:rFonts w:ascii="&amp;quot" w:hAnsi="&amp;quot"/>
          <w:color w:val="333333"/>
        </w:rPr>
        <w:t>）</w:t>
      </w:r>
      <w:r>
        <w:rPr>
          <w:rFonts w:ascii="&amp;quot" w:hAnsi="&amp;quot"/>
          <w:color w:val="333333"/>
        </w:rPr>
        <w:t xml:space="preserve"> </w:t>
      </w:r>
      <w:r>
        <w:rPr>
          <w:rFonts w:ascii="&amp;quot" w:hAnsi="&amp;quot"/>
          <w:color w:val="333333"/>
        </w:rPr>
        <w:t>个人所得税。</w:t>
      </w:r>
    </w:p>
    <w:p w14:paraId="14413AA9"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①</w:t>
      </w:r>
      <w:r>
        <w:rPr>
          <w:rFonts w:ascii="&amp;quot" w:hAnsi="&amp;quot"/>
          <w:color w:val="333333"/>
        </w:rPr>
        <w:t>合伙企业的自然人合伙人生产经营所得，比照个人所得税法的</w:t>
      </w:r>
      <w:r>
        <w:rPr>
          <w:rFonts w:ascii="&amp;quot" w:hAnsi="&amp;quot"/>
          <w:color w:val="333333"/>
        </w:rPr>
        <w:t>“</w:t>
      </w:r>
      <w:r>
        <w:rPr>
          <w:rFonts w:ascii="&amp;quot" w:hAnsi="&amp;quot"/>
          <w:color w:val="333333"/>
        </w:rPr>
        <w:t>个体工商户的生产经营所得</w:t>
      </w:r>
      <w:r>
        <w:rPr>
          <w:rFonts w:ascii="&amp;quot" w:hAnsi="&amp;quot"/>
          <w:color w:val="333333"/>
        </w:rPr>
        <w:t>”</w:t>
      </w:r>
      <w:r>
        <w:rPr>
          <w:rFonts w:ascii="&amp;quot" w:hAnsi="&amp;quot"/>
          <w:color w:val="333333"/>
        </w:rPr>
        <w:t>应税项目，适用</w:t>
      </w:r>
      <w:r>
        <w:rPr>
          <w:rFonts w:ascii="&amp;quot" w:hAnsi="&amp;quot"/>
          <w:color w:val="333333"/>
        </w:rPr>
        <w:t>5%-35%</w:t>
      </w:r>
      <w:r>
        <w:rPr>
          <w:rFonts w:ascii="&amp;quot" w:hAnsi="&amp;quot"/>
          <w:color w:val="333333"/>
        </w:rPr>
        <w:t>的五级超额累进税率，计算征收个人所得税。</w:t>
      </w:r>
    </w:p>
    <w:p w14:paraId="25740F6E"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合伙企业对外投资的利息或者股息、红利所得，</w:t>
      </w:r>
      <w:proofErr w:type="gramStart"/>
      <w:r>
        <w:rPr>
          <w:rFonts w:ascii="&amp;quot" w:hAnsi="&amp;quot"/>
          <w:color w:val="333333"/>
        </w:rPr>
        <w:t>不</w:t>
      </w:r>
      <w:proofErr w:type="gramEnd"/>
      <w:r>
        <w:rPr>
          <w:rFonts w:ascii="&amp;quot" w:hAnsi="&amp;quot"/>
          <w:color w:val="333333"/>
        </w:rPr>
        <w:t>并入企业收入，而应单独作为投资者个人取得的利息、股息、红利所得，按</w:t>
      </w:r>
      <w:r>
        <w:rPr>
          <w:rFonts w:ascii="&amp;quot" w:hAnsi="&amp;quot"/>
          <w:color w:val="333333"/>
        </w:rPr>
        <w:t>“</w:t>
      </w:r>
      <w:r>
        <w:rPr>
          <w:rFonts w:ascii="&amp;quot" w:hAnsi="&amp;quot"/>
          <w:color w:val="333333"/>
        </w:rPr>
        <w:t>利息、股息、红利所得</w:t>
      </w:r>
      <w:r>
        <w:rPr>
          <w:rFonts w:ascii="&amp;quot" w:hAnsi="&amp;quot"/>
          <w:color w:val="333333"/>
        </w:rPr>
        <w:t>”</w:t>
      </w:r>
      <w:r>
        <w:rPr>
          <w:rFonts w:ascii="&amp;quot" w:hAnsi="&amp;quot"/>
          <w:color w:val="333333"/>
        </w:rPr>
        <w:t>应税项目计算缴纳个人所得税。</w:t>
      </w:r>
    </w:p>
    <w:p w14:paraId="7080C4FA"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3</w:t>
      </w:r>
      <w:r>
        <w:rPr>
          <w:rFonts w:ascii="&amp;quot" w:hAnsi="&amp;quot"/>
          <w:color w:val="333333"/>
        </w:rPr>
        <w:t>）</w:t>
      </w:r>
      <w:r>
        <w:rPr>
          <w:rFonts w:ascii="&amp;quot" w:hAnsi="&amp;quot"/>
          <w:color w:val="333333"/>
        </w:rPr>
        <w:t xml:space="preserve"> </w:t>
      </w:r>
      <w:r>
        <w:rPr>
          <w:rFonts w:ascii="&amp;quot" w:hAnsi="&amp;quot"/>
          <w:color w:val="333333"/>
        </w:rPr>
        <w:t>其他税收政策。</w:t>
      </w:r>
    </w:p>
    <w:p w14:paraId="171198BE"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①</w:t>
      </w:r>
      <w:r>
        <w:rPr>
          <w:rFonts w:ascii="&amp;quot" w:hAnsi="&amp;quot"/>
          <w:color w:val="333333"/>
        </w:rPr>
        <w:t>股权投资类企业缴纳房产税、城镇土地使用税确有困难并符合国家规定减免条件的，按规定程序报批后，可酌情给予减免。</w:t>
      </w:r>
    </w:p>
    <w:p w14:paraId="191D767C"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股权投资类企业因收回、转让或清算处置股权投资而发生的权益性损失，符合国家税务总局</w:t>
      </w:r>
      <w:r>
        <w:rPr>
          <w:rFonts w:ascii="&amp;quot" w:hAnsi="&amp;quot"/>
          <w:color w:val="333333"/>
        </w:rPr>
        <w:t>2011</w:t>
      </w:r>
      <w:r>
        <w:rPr>
          <w:rFonts w:ascii="&amp;quot" w:hAnsi="&amp;quot"/>
          <w:color w:val="333333"/>
        </w:rPr>
        <w:t>年</w:t>
      </w:r>
      <w:r>
        <w:rPr>
          <w:rFonts w:ascii="&amp;quot" w:hAnsi="&amp;quot"/>
          <w:color w:val="333333"/>
        </w:rPr>
        <w:t>25</w:t>
      </w:r>
      <w:r>
        <w:rPr>
          <w:rFonts w:ascii="&amp;quot" w:hAnsi="&amp;quot"/>
          <w:color w:val="333333"/>
        </w:rPr>
        <w:t>号公告规定的，可在申报后税前扣除。</w:t>
      </w:r>
    </w:p>
    <w:p w14:paraId="1A573523"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 xml:space="preserve">2. </w:t>
      </w:r>
      <w:r>
        <w:rPr>
          <w:rFonts w:ascii="&amp;quot" w:hAnsi="&amp;quot"/>
          <w:color w:val="333333"/>
        </w:rPr>
        <w:t>财政扶持政策。</w:t>
      </w:r>
    </w:p>
    <w:p w14:paraId="1E9E3B23"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1</w:t>
      </w:r>
      <w:r>
        <w:rPr>
          <w:rFonts w:ascii="&amp;quot" w:hAnsi="&amp;quot"/>
          <w:color w:val="333333"/>
        </w:rPr>
        <w:t>）规模奖励。对在我市辖区内注册，且承诺</w:t>
      </w:r>
      <w:r>
        <w:rPr>
          <w:rFonts w:ascii="&amp;quot" w:hAnsi="&amp;quot"/>
          <w:color w:val="333333"/>
        </w:rPr>
        <w:t>5</w:t>
      </w:r>
      <w:r>
        <w:rPr>
          <w:rFonts w:ascii="&amp;quot" w:hAnsi="&amp;quot"/>
          <w:color w:val="333333"/>
        </w:rPr>
        <w:t>年内</w:t>
      </w:r>
      <w:proofErr w:type="gramStart"/>
      <w:r>
        <w:rPr>
          <w:rFonts w:ascii="&amp;quot" w:hAnsi="&amp;quot"/>
          <w:color w:val="333333"/>
        </w:rPr>
        <w:t>不</w:t>
      </w:r>
      <w:proofErr w:type="gramEnd"/>
      <w:r>
        <w:rPr>
          <w:rFonts w:ascii="&amp;quot" w:hAnsi="&amp;quot"/>
          <w:color w:val="333333"/>
        </w:rPr>
        <w:t>迁离的基金，可按以下条件给予奖励：</w:t>
      </w:r>
    </w:p>
    <w:p w14:paraId="374F62C4"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①</w:t>
      </w:r>
      <w:r>
        <w:rPr>
          <w:rFonts w:ascii="&amp;quot" w:hAnsi="&amp;quot"/>
          <w:color w:val="333333"/>
        </w:rPr>
        <w:t>对基金实缴规模（扣除政府引导基金后）达到</w:t>
      </w:r>
      <w:r>
        <w:rPr>
          <w:rFonts w:ascii="&amp;quot" w:hAnsi="&amp;quot"/>
          <w:color w:val="333333"/>
        </w:rPr>
        <w:t>1</w:t>
      </w:r>
      <w:r>
        <w:rPr>
          <w:rFonts w:ascii="&amp;quot" w:hAnsi="&amp;quot"/>
          <w:color w:val="333333"/>
        </w:rPr>
        <w:t>亿元的创投基金，按基金实缴规模</w:t>
      </w:r>
      <w:r>
        <w:rPr>
          <w:rFonts w:ascii="&amp;quot" w:hAnsi="&amp;quot"/>
          <w:color w:val="333333"/>
        </w:rPr>
        <w:t>1.5%</w:t>
      </w:r>
      <w:r>
        <w:rPr>
          <w:rFonts w:ascii="&amp;quot" w:hAnsi="&amp;quot"/>
          <w:color w:val="333333"/>
        </w:rPr>
        <w:t>给予奖励；达到</w:t>
      </w:r>
      <w:r>
        <w:rPr>
          <w:rFonts w:ascii="&amp;quot" w:hAnsi="&amp;quot"/>
          <w:color w:val="333333"/>
        </w:rPr>
        <w:t>2</w:t>
      </w:r>
      <w:r>
        <w:rPr>
          <w:rFonts w:ascii="&amp;quot" w:hAnsi="&amp;quot"/>
          <w:color w:val="333333"/>
        </w:rPr>
        <w:t>亿元的，按基金实缴规模</w:t>
      </w:r>
      <w:r>
        <w:rPr>
          <w:rFonts w:ascii="&amp;quot" w:hAnsi="&amp;quot"/>
          <w:color w:val="333333"/>
        </w:rPr>
        <w:t>1%</w:t>
      </w:r>
      <w:r>
        <w:rPr>
          <w:rFonts w:ascii="&amp;quot" w:hAnsi="&amp;quot"/>
          <w:color w:val="333333"/>
        </w:rPr>
        <w:t>给予奖励。</w:t>
      </w:r>
    </w:p>
    <w:p w14:paraId="7B8CC3C1"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对基金实缴规模（扣除政府引导基金后）达到</w:t>
      </w:r>
      <w:r>
        <w:rPr>
          <w:rFonts w:ascii="&amp;quot" w:hAnsi="&amp;quot"/>
          <w:color w:val="333333"/>
        </w:rPr>
        <w:t>2</w:t>
      </w:r>
      <w:r>
        <w:rPr>
          <w:rFonts w:ascii="&amp;quot" w:hAnsi="&amp;quot"/>
          <w:color w:val="333333"/>
        </w:rPr>
        <w:t>亿元的私</w:t>
      </w:r>
      <w:proofErr w:type="gramStart"/>
      <w:r>
        <w:rPr>
          <w:rFonts w:ascii="&amp;quot" w:hAnsi="&amp;quot"/>
          <w:color w:val="333333"/>
        </w:rPr>
        <w:t>募股权基金</w:t>
      </w:r>
      <w:proofErr w:type="gramEnd"/>
      <w:r>
        <w:rPr>
          <w:rFonts w:ascii="&amp;quot" w:hAnsi="&amp;quot"/>
          <w:color w:val="333333"/>
        </w:rPr>
        <w:t>和达到</w:t>
      </w:r>
      <w:r>
        <w:rPr>
          <w:rFonts w:ascii="&amp;quot" w:hAnsi="&amp;quot"/>
          <w:color w:val="333333"/>
        </w:rPr>
        <w:t>5</w:t>
      </w:r>
      <w:r>
        <w:rPr>
          <w:rFonts w:ascii="&amp;quot" w:hAnsi="&amp;quot"/>
          <w:color w:val="333333"/>
        </w:rPr>
        <w:t>亿元的产业投资基金，按基金实缴规模</w:t>
      </w:r>
      <w:r>
        <w:rPr>
          <w:rFonts w:ascii="&amp;quot" w:hAnsi="&amp;quot"/>
          <w:color w:val="333333"/>
        </w:rPr>
        <w:t>1%</w:t>
      </w:r>
      <w:r>
        <w:rPr>
          <w:rFonts w:ascii="&amp;quot" w:hAnsi="&amp;quot"/>
          <w:color w:val="333333"/>
        </w:rPr>
        <w:t>的比例给予奖励。</w:t>
      </w:r>
    </w:p>
    <w:p w14:paraId="623EB90C"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上述各类基金，单支基金奖励总额累计不超过</w:t>
      </w:r>
      <w:r>
        <w:rPr>
          <w:rFonts w:ascii="&amp;quot" w:hAnsi="&amp;quot"/>
          <w:color w:val="333333"/>
        </w:rPr>
        <w:t>1500</w:t>
      </w:r>
      <w:r>
        <w:rPr>
          <w:rFonts w:ascii="&amp;quot" w:hAnsi="&amp;quot"/>
          <w:color w:val="333333"/>
        </w:rPr>
        <w:t>万元。国家级基金和超大规模基金可采取</w:t>
      </w:r>
      <w:r>
        <w:rPr>
          <w:rFonts w:ascii="&amp;quot" w:hAnsi="&amp;quot"/>
          <w:color w:val="333333"/>
        </w:rPr>
        <w:t>“</w:t>
      </w:r>
      <w:r>
        <w:rPr>
          <w:rFonts w:ascii="&amp;quot" w:hAnsi="&amp;quot"/>
          <w:color w:val="333333"/>
        </w:rPr>
        <w:t>一事一议</w:t>
      </w:r>
      <w:r>
        <w:rPr>
          <w:rFonts w:ascii="&amp;quot" w:hAnsi="&amp;quot"/>
          <w:color w:val="333333"/>
        </w:rPr>
        <w:t>”</w:t>
      </w:r>
      <w:r>
        <w:rPr>
          <w:rFonts w:ascii="&amp;quot" w:hAnsi="&amp;quot"/>
          <w:color w:val="333333"/>
        </w:rPr>
        <w:t>的方式协商确定。</w:t>
      </w:r>
    </w:p>
    <w:p w14:paraId="1B4DFDF8"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2</w:t>
      </w:r>
      <w:r>
        <w:rPr>
          <w:rFonts w:ascii="&amp;quot" w:hAnsi="&amp;quot"/>
          <w:color w:val="333333"/>
        </w:rPr>
        <w:t>）</w:t>
      </w:r>
      <w:r>
        <w:rPr>
          <w:rFonts w:ascii="&amp;quot" w:hAnsi="&amp;quot"/>
          <w:color w:val="333333"/>
        </w:rPr>
        <w:t xml:space="preserve"> </w:t>
      </w:r>
      <w:r>
        <w:rPr>
          <w:rFonts w:ascii="&amp;quot" w:hAnsi="&amp;quot"/>
          <w:color w:val="333333"/>
        </w:rPr>
        <w:t>投资奖励。</w:t>
      </w:r>
    </w:p>
    <w:p w14:paraId="1A14C932"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①</w:t>
      </w:r>
      <w:r>
        <w:rPr>
          <w:rFonts w:ascii="&amp;quot" w:hAnsi="&amp;quot"/>
          <w:color w:val="333333"/>
        </w:rPr>
        <w:t>各类股权投资基金投资我市境内创新创业企业达到</w:t>
      </w:r>
      <w:r>
        <w:rPr>
          <w:rFonts w:ascii="&amp;quot" w:hAnsi="&amp;quot"/>
          <w:color w:val="333333"/>
        </w:rPr>
        <w:t>1000</w:t>
      </w:r>
      <w:r>
        <w:rPr>
          <w:rFonts w:ascii="&amp;quot" w:hAnsi="&amp;quot"/>
          <w:color w:val="333333"/>
        </w:rPr>
        <w:t>万元（扣除政府引导基金后）且投资期限满</w:t>
      </w:r>
      <w:r>
        <w:rPr>
          <w:rFonts w:ascii="&amp;quot" w:hAnsi="&amp;quot"/>
          <w:color w:val="333333"/>
        </w:rPr>
        <w:t>1</w:t>
      </w:r>
      <w:r>
        <w:rPr>
          <w:rFonts w:ascii="&amp;quot" w:hAnsi="&amp;quot"/>
          <w:color w:val="333333"/>
        </w:rPr>
        <w:t>年的，按其实际投资额</w:t>
      </w:r>
      <w:r>
        <w:rPr>
          <w:rFonts w:ascii="&amp;quot" w:hAnsi="&amp;quot"/>
          <w:color w:val="333333"/>
        </w:rPr>
        <w:t>1%</w:t>
      </w:r>
      <w:r>
        <w:rPr>
          <w:rFonts w:ascii="&amp;quot" w:hAnsi="&amp;quot"/>
          <w:color w:val="333333"/>
        </w:rPr>
        <w:t>给予奖励。奖励金额不超过</w:t>
      </w:r>
      <w:r>
        <w:rPr>
          <w:rFonts w:ascii="&amp;quot" w:hAnsi="&amp;quot"/>
          <w:color w:val="333333"/>
        </w:rPr>
        <w:t>200</w:t>
      </w:r>
      <w:r>
        <w:rPr>
          <w:rFonts w:ascii="&amp;quot" w:hAnsi="&amp;quot"/>
          <w:color w:val="333333"/>
        </w:rPr>
        <w:t>万元。</w:t>
      </w:r>
    </w:p>
    <w:p w14:paraId="2A773C3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创业投资基金、私</w:t>
      </w:r>
      <w:proofErr w:type="gramStart"/>
      <w:r>
        <w:rPr>
          <w:rFonts w:ascii="&amp;quot" w:hAnsi="&amp;quot"/>
          <w:color w:val="333333"/>
        </w:rPr>
        <w:t>募股权投资</w:t>
      </w:r>
      <w:proofErr w:type="gramEnd"/>
      <w:r>
        <w:rPr>
          <w:rFonts w:ascii="&amp;quot" w:hAnsi="&amp;quot"/>
          <w:color w:val="333333"/>
        </w:rPr>
        <w:t>基金、产业投资基金直接投资我市辖区内企业的资金规模（扣除政府引导基金后）达到</w:t>
      </w:r>
      <w:r>
        <w:rPr>
          <w:rFonts w:ascii="&amp;quot" w:hAnsi="&amp;quot"/>
          <w:color w:val="333333"/>
        </w:rPr>
        <w:t>1</w:t>
      </w:r>
      <w:r>
        <w:rPr>
          <w:rFonts w:ascii="&amp;quot" w:hAnsi="&amp;quot"/>
          <w:color w:val="333333"/>
        </w:rPr>
        <w:t>亿元且投资期限满</w:t>
      </w:r>
      <w:r>
        <w:rPr>
          <w:rFonts w:ascii="&amp;quot" w:hAnsi="&amp;quot"/>
          <w:color w:val="333333"/>
        </w:rPr>
        <w:t>1</w:t>
      </w:r>
      <w:r>
        <w:rPr>
          <w:rFonts w:ascii="&amp;quot" w:hAnsi="&amp;quot"/>
          <w:color w:val="333333"/>
        </w:rPr>
        <w:t>年的，按照其实际投资额</w:t>
      </w:r>
      <w:r>
        <w:rPr>
          <w:rFonts w:ascii="&amp;quot" w:hAnsi="&amp;quot"/>
          <w:color w:val="333333"/>
        </w:rPr>
        <w:t>1%</w:t>
      </w:r>
      <w:r>
        <w:rPr>
          <w:rFonts w:ascii="&amp;quot" w:hAnsi="&amp;quot"/>
          <w:color w:val="333333"/>
        </w:rPr>
        <w:t>比例给予奖励。奖励最高不超过</w:t>
      </w:r>
      <w:r>
        <w:rPr>
          <w:rFonts w:ascii="&amp;quot" w:hAnsi="&amp;quot"/>
          <w:color w:val="333333"/>
        </w:rPr>
        <w:t>400</w:t>
      </w:r>
      <w:r>
        <w:rPr>
          <w:rFonts w:ascii="&amp;quot" w:hAnsi="&amp;quot"/>
          <w:color w:val="333333"/>
        </w:rPr>
        <w:t>万元。</w:t>
      </w:r>
    </w:p>
    <w:p w14:paraId="3B4CB9AE"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lastRenderedPageBreak/>
        <w:t xml:space="preserve">　　（</w:t>
      </w:r>
      <w:r>
        <w:rPr>
          <w:rFonts w:ascii="&amp;quot" w:hAnsi="&amp;quot"/>
          <w:color w:val="333333"/>
        </w:rPr>
        <w:t>3</w:t>
      </w:r>
      <w:r>
        <w:rPr>
          <w:rFonts w:ascii="&amp;quot" w:hAnsi="&amp;quot"/>
          <w:color w:val="333333"/>
        </w:rPr>
        <w:t>）</w:t>
      </w:r>
      <w:r>
        <w:rPr>
          <w:rFonts w:ascii="&amp;quot" w:hAnsi="&amp;quot"/>
          <w:color w:val="333333"/>
        </w:rPr>
        <w:t xml:space="preserve"> </w:t>
      </w:r>
      <w:r>
        <w:rPr>
          <w:rFonts w:ascii="&amp;quot" w:hAnsi="&amp;quot"/>
          <w:color w:val="333333"/>
        </w:rPr>
        <w:t>贡献奖励。</w:t>
      </w:r>
    </w:p>
    <w:p w14:paraId="097C238D"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①</w:t>
      </w:r>
      <w:r>
        <w:rPr>
          <w:rFonts w:ascii="&amp;quot" w:hAnsi="&amp;quot"/>
          <w:color w:val="333333"/>
        </w:rPr>
        <w:t>股权投资管理企业自获利年度起，前</w:t>
      </w:r>
      <w:r>
        <w:rPr>
          <w:rFonts w:ascii="&amp;quot" w:hAnsi="&amp;quot"/>
          <w:color w:val="333333"/>
        </w:rPr>
        <w:t>2</w:t>
      </w:r>
      <w:r>
        <w:rPr>
          <w:rFonts w:ascii="&amp;quot" w:hAnsi="&amp;quot"/>
          <w:color w:val="333333"/>
        </w:rPr>
        <w:t>年由市财政部门按照其缴纳的企业所得税市级以下（含市级）地方分享部分给予等额奖励，后</w:t>
      </w:r>
      <w:r>
        <w:rPr>
          <w:rFonts w:ascii="&amp;quot" w:hAnsi="&amp;quot"/>
          <w:color w:val="333333"/>
        </w:rPr>
        <w:t>3</w:t>
      </w:r>
      <w:r>
        <w:rPr>
          <w:rFonts w:ascii="&amp;quot" w:hAnsi="&amp;quot"/>
          <w:color w:val="333333"/>
        </w:rPr>
        <w:t>年给予减半奖励。</w:t>
      </w:r>
    </w:p>
    <w:p w14:paraId="7A6C9BCE"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②</w:t>
      </w:r>
      <w:r>
        <w:rPr>
          <w:rFonts w:ascii="&amp;quot" w:hAnsi="&amp;quot"/>
          <w:color w:val="333333"/>
        </w:rPr>
        <w:t>股权投资基金管理机构的高级经营管理人员（以下简称</w:t>
      </w:r>
      <w:r>
        <w:rPr>
          <w:rFonts w:ascii="&amp;quot" w:hAnsi="&amp;quot"/>
          <w:color w:val="333333"/>
        </w:rPr>
        <w:t>“</w:t>
      </w:r>
      <w:r>
        <w:rPr>
          <w:rFonts w:ascii="&amp;quot" w:hAnsi="&amp;quot"/>
          <w:color w:val="333333"/>
        </w:rPr>
        <w:t>高管</w:t>
      </w:r>
      <w:r>
        <w:rPr>
          <w:rFonts w:ascii="&amp;quot" w:hAnsi="&amp;quot"/>
          <w:color w:val="333333"/>
        </w:rPr>
        <w:t>”</w:t>
      </w:r>
      <w:r>
        <w:rPr>
          <w:rFonts w:ascii="&amp;quot" w:hAnsi="&amp;quot"/>
          <w:color w:val="333333"/>
        </w:rPr>
        <w:t>），在</w:t>
      </w:r>
      <w:r>
        <w:rPr>
          <w:rFonts w:ascii="&amp;quot" w:hAnsi="&amp;quot"/>
          <w:color w:val="333333"/>
        </w:rPr>
        <w:t>3</w:t>
      </w:r>
      <w:r>
        <w:rPr>
          <w:rFonts w:ascii="&amp;quot" w:hAnsi="&amp;quot"/>
          <w:color w:val="333333"/>
        </w:rPr>
        <w:t>年内，以其工资、薪金所得项目个人所得税市级以下（含市级）地方财政留存部分的</w:t>
      </w:r>
      <w:r>
        <w:rPr>
          <w:rFonts w:ascii="&amp;quot" w:hAnsi="&amp;quot"/>
          <w:color w:val="333333"/>
        </w:rPr>
        <w:t>100%</w:t>
      </w:r>
      <w:r>
        <w:rPr>
          <w:rFonts w:ascii="&amp;quot" w:hAnsi="&amp;quot"/>
          <w:color w:val="333333"/>
        </w:rPr>
        <w:t>为标准，由市财政部门给予适当奖励。每家不超过</w:t>
      </w:r>
      <w:r>
        <w:rPr>
          <w:rFonts w:ascii="&amp;quot" w:hAnsi="&amp;quot"/>
          <w:color w:val="333333"/>
        </w:rPr>
        <w:t>5</w:t>
      </w:r>
      <w:r>
        <w:rPr>
          <w:rFonts w:ascii="&amp;quot" w:hAnsi="&amp;quot"/>
          <w:color w:val="333333"/>
        </w:rPr>
        <w:t>人。</w:t>
      </w:r>
    </w:p>
    <w:p w14:paraId="33A227E5"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4</w:t>
      </w:r>
      <w:r>
        <w:rPr>
          <w:rFonts w:ascii="&amp;quot" w:hAnsi="&amp;quot"/>
          <w:color w:val="333333"/>
        </w:rPr>
        <w:t>）</w:t>
      </w:r>
      <w:r>
        <w:rPr>
          <w:rFonts w:ascii="&amp;quot" w:hAnsi="&amp;quot"/>
          <w:color w:val="333333"/>
        </w:rPr>
        <w:t xml:space="preserve"> </w:t>
      </w:r>
      <w:r>
        <w:rPr>
          <w:rFonts w:ascii="&amp;quot" w:hAnsi="&amp;quot"/>
          <w:color w:val="333333"/>
        </w:rPr>
        <w:t>办公用房补助。股权投资管理企业购买、自建自用办公用房的，按市场房价给予</w:t>
      </w:r>
      <w:r>
        <w:rPr>
          <w:rFonts w:ascii="&amp;quot" w:hAnsi="&amp;quot"/>
          <w:color w:val="333333"/>
        </w:rPr>
        <w:t>1.5%</w:t>
      </w:r>
      <w:r>
        <w:rPr>
          <w:rFonts w:ascii="&amp;quot" w:hAnsi="&amp;quot"/>
          <w:color w:val="333333"/>
        </w:rPr>
        <w:t>的一次性补贴，补贴最高不超过</w:t>
      </w:r>
      <w:r>
        <w:rPr>
          <w:rFonts w:ascii="&amp;quot" w:hAnsi="&amp;quot"/>
          <w:color w:val="333333"/>
        </w:rPr>
        <w:t>500</w:t>
      </w:r>
      <w:r>
        <w:rPr>
          <w:rFonts w:ascii="&amp;quot" w:hAnsi="&amp;quot"/>
          <w:color w:val="333333"/>
        </w:rPr>
        <w:t>万元；租赁自用办公用房的，连续</w:t>
      </w:r>
      <w:r>
        <w:rPr>
          <w:rFonts w:ascii="&amp;quot" w:hAnsi="&amp;quot"/>
          <w:color w:val="333333"/>
        </w:rPr>
        <w:t>3</w:t>
      </w:r>
      <w:r>
        <w:rPr>
          <w:rFonts w:ascii="&amp;quot" w:hAnsi="&amp;quot"/>
          <w:color w:val="333333"/>
        </w:rPr>
        <w:t>年每年按照房屋市场指导价的</w:t>
      </w:r>
      <w:r>
        <w:rPr>
          <w:rFonts w:ascii="&amp;quot" w:hAnsi="&amp;quot"/>
          <w:color w:val="333333"/>
        </w:rPr>
        <w:t>30%</w:t>
      </w:r>
      <w:r>
        <w:rPr>
          <w:rFonts w:ascii="&amp;quot" w:hAnsi="&amp;quot"/>
          <w:color w:val="333333"/>
        </w:rPr>
        <w:t>给予补贴，每年补贴最高不超过</w:t>
      </w:r>
      <w:r>
        <w:rPr>
          <w:rFonts w:ascii="&amp;quot" w:hAnsi="&amp;quot"/>
          <w:color w:val="333333"/>
        </w:rPr>
        <w:t>100</w:t>
      </w:r>
      <w:r>
        <w:rPr>
          <w:rFonts w:ascii="&amp;quot" w:hAnsi="&amp;quot"/>
          <w:color w:val="333333"/>
        </w:rPr>
        <w:t>万元。</w:t>
      </w:r>
    </w:p>
    <w:p w14:paraId="6EE151FB"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3.</w:t>
      </w:r>
      <w:r>
        <w:rPr>
          <w:rFonts w:ascii="&amp;quot" w:hAnsi="&amp;quot"/>
          <w:color w:val="333333"/>
        </w:rPr>
        <w:t>人才支持政策。充分认识专业人才在推动股权投资基金业发展中的重要作用，通过人才激励措施，引进高端基金人才，加快培养本土人才，不断提升我市股权投资基金管理运作能力和水平。</w:t>
      </w:r>
    </w:p>
    <w:p w14:paraId="5513099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1</w:t>
      </w:r>
      <w:r>
        <w:rPr>
          <w:rFonts w:ascii="&amp;quot" w:hAnsi="&amp;quot"/>
          <w:color w:val="333333"/>
        </w:rPr>
        <w:t>）股权投资基金管理机构从业人员，符合我市有关人才政策规定的，平等纳入人才政策享受范围。</w:t>
      </w:r>
    </w:p>
    <w:p w14:paraId="5662AB0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2</w:t>
      </w:r>
      <w:r>
        <w:rPr>
          <w:rFonts w:ascii="&amp;quot" w:hAnsi="&amp;quot"/>
          <w:color w:val="333333"/>
        </w:rPr>
        <w:t>）根据现有人才政策，可给予股权投资基金管理机构高管一次性住房补贴、安家费等补助，补助额度根据实际情况由市委人才办、财政部门确定。</w:t>
      </w:r>
    </w:p>
    <w:p w14:paraId="22493EC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3</w:t>
      </w:r>
      <w:r>
        <w:rPr>
          <w:rFonts w:ascii="&amp;quot" w:hAnsi="&amp;quot"/>
          <w:color w:val="333333"/>
        </w:rPr>
        <w:t>）加强基金人才培养力度。建立本土优秀基金人才培养计划，推动业内股权投资基金高端人才与金融机构、投资机构和专业培训机构等合作。</w:t>
      </w:r>
    </w:p>
    <w:p w14:paraId="6EFB554D"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Fonts w:ascii="&amp;quot" w:hAnsi="&amp;quot"/>
          <w:color w:val="333333"/>
        </w:rPr>
        <w:t>4</w:t>
      </w:r>
      <w:r>
        <w:rPr>
          <w:rFonts w:ascii="&amp;quot" w:hAnsi="&amp;quot"/>
          <w:color w:val="333333"/>
        </w:rPr>
        <w:t>）其他支持政策。</w:t>
      </w:r>
    </w:p>
    <w:p w14:paraId="3B045D77"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符合条件的国有创业投资企业投资未上市中小企业形成的国有股，可申请豁免国有股转持义务。</w:t>
      </w:r>
    </w:p>
    <w:p w14:paraId="318266B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四、</w:t>
      </w:r>
      <w:r>
        <w:rPr>
          <w:rStyle w:val="a4"/>
          <w:rFonts w:ascii="&amp;quot" w:hAnsi="&amp;quot"/>
          <w:color w:val="333333"/>
          <w:bdr w:val="none" w:sz="0" w:space="0" w:color="auto" w:frame="1"/>
        </w:rPr>
        <w:t xml:space="preserve"> </w:t>
      </w:r>
      <w:r>
        <w:rPr>
          <w:rStyle w:val="a4"/>
          <w:rFonts w:ascii="&amp;quot" w:hAnsi="&amp;quot"/>
          <w:color w:val="333333"/>
          <w:bdr w:val="none" w:sz="0" w:space="0" w:color="auto" w:frame="1"/>
        </w:rPr>
        <w:t>健全行业管理体系</w:t>
      </w:r>
    </w:p>
    <w:p w14:paraId="72AA3A36"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（一）落实登记备案制度。</w:t>
      </w:r>
      <w:r>
        <w:rPr>
          <w:rFonts w:ascii="&amp;quot" w:hAnsi="&amp;quot"/>
          <w:color w:val="333333"/>
        </w:rPr>
        <w:t>按照《山西省股权投资类企业注册备案监管办法（试行）》，股权投资类企业在完成工商注册登记后，应按照《私募投资基金监督管理暂行办法》《私募投资基金管理人登记和基金备案办法（试行）》的要求，及时向中国证券投资基金业协会登记备案。获得管理人资格后，应及时加入山西省投资基金业协会，接受自律组织管理。创业投资企业在完成工商注册登记后，应按照《创业投资企业管理暂行办法》要求，及时向</w:t>
      </w:r>
      <w:proofErr w:type="gramStart"/>
      <w:r>
        <w:rPr>
          <w:rFonts w:ascii="&amp;quot" w:hAnsi="&amp;quot"/>
          <w:color w:val="333333"/>
        </w:rPr>
        <w:t>省发改</w:t>
      </w:r>
      <w:proofErr w:type="gramEnd"/>
      <w:r>
        <w:rPr>
          <w:rFonts w:ascii="&amp;quot" w:hAnsi="&amp;quot"/>
          <w:color w:val="333333"/>
        </w:rPr>
        <w:t>委登记备案。</w:t>
      </w:r>
    </w:p>
    <w:p w14:paraId="0788266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（二）加强监督管理。</w:t>
      </w:r>
      <w:r>
        <w:rPr>
          <w:rFonts w:ascii="&amp;quot" w:hAnsi="&amp;quot"/>
          <w:color w:val="333333"/>
        </w:rPr>
        <w:t>严格遵循国家关于股权投资类企业的相关要求，切实加强监管。市工商部门应及时将我市辖区内股权投资类企业注册信息通过国家企业信用信息公示系统（山西）告知证券监管部门和省、市政府金融办。市政府金融办应会同金融监管部门和银行机构，加强股权投资基金法人、法人代表信用记录征集工作，及时将其信用记录纳入信用信息共享平台，做好跟踪服务。</w:t>
      </w:r>
    </w:p>
    <w:p w14:paraId="0D34F4FD"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（三）做好风险防范。</w:t>
      </w:r>
      <w:r>
        <w:rPr>
          <w:rFonts w:ascii="&amp;quot" w:hAnsi="&amp;quot"/>
          <w:color w:val="333333"/>
        </w:rPr>
        <w:t>股权投资类企业要依法合</w:t>
      </w:r>
      <w:proofErr w:type="gramStart"/>
      <w:r>
        <w:rPr>
          <w:rFonts w:ascii="&amp;quot" w:hAnsi="&amp;quot"/>
          <w:color w:val="333333"/>
        </w:rPr>
        <w:t>规</w:t>
      </w:r>
      <w:proofErr w:type="gramEnd"/>
      <w:r>
        <w:rPr>
          <w:rFonts w:ascii="&amp;quot" w:hAnsi="&amp;quot"/>
          <w:color w:val="333333"/>
        </w:rPr>
        <w:t>、有序操作，不得从事吸收公众存款或变相吸收公众存款、发放贷款等金融业务。投资者要按照投资自愿、风险</w:t>
      </w:r>
      <w:proofErr w:type="gramStart"/>
      <w:r>
        <w:rPr>
          <w:rFonts w:ascii="&amp;quot" w:hAnsi="&amp;quot"/>
          <w:color w:val="333333"/>
        </w:rPr>
        <w:t>自担等原则</w:t>
      </w:r>
      <w:proofErr w:type="gramEnd"/>
      <w:r>
        <w:rPr>
          <w:rFonts w:ascii="&amp;quot" w:hAnsi="&amp;quot"/>
          <w:color w:val="333333"/>
        </w:rPr>
        <w:t>进行投资，防范风险。市政府金融办、市工商局负责做好股权投资类企业备案、注册、股权变更等工作。市政府金融办配合山西证监局做好股权投资类企业进行监督管理工作，配合省投资基金业协会做好自律管理、规范发展工作。各县（市、区）人民政府要加强股权投资的风险警示和宣传教育，提高群众风险意识，加大对违规运营的股权投资类企业的清理整顿力度，严厉打击以</w:t>
      </w:r>
      <w:r>
        <w:rPr>
          <w:rFonts w:ascii="&amp;quot" w:hAnsi="&amp;quot"/>
          <w:color w:val="333333"/>
        </w:rPr>
        <w:t>“</w:t>
      </w:r>
      <w:r>
        <w:rPr>
          <w:rFonts w:ascii="&amp;quot" w:hAnsi="&amp;quot"/>
          <w:color w:val="333333"/>
        </w:rPr>
        <w:t>股权投资</w:t>
      </w:r>
      <w:r>
        <w:rPr>
          <w:rFonts w:ascii="&amp;quot" w:hAnsi="&amp;quot"/>
          <w:color w:val="333333"/>
        </w:rPr>
        <w:t>”“</w:t>
      </w:r>
      <w:r>
        <w:rPr>
          <w:rFonts w:ascii="&amp;quot" w:hAnsi="&amp;quot"/>
          <w:color w:val="333333"/>
        </w:rPr>
        <w:t>股权众筹</w:t>
      </w:r>
      <w:r>
        <w:rPr>
          <w:rFonts w:ascii="&amp;quot" w:hAnsi="&amp;quot"/>
          <w:color w:val="333333"/>
        </w:rPr>
        <w:t>”</w:t>
      </w:r>
      <w:r>
        <w:rPr>
          <w:rFonts w:ascii="&amp;quot" w:hAnsi="&amp;quot"/>
          <w:color w:val="333333"/>
        </w:rPr>
        <w:t>等为名进行的非法集资和非法证券期货活动。</w:t>
      </w:r>
    </w:p>
    <w:p w14:paraId="43A745A8"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五、健全服务保障体系</w:t>
      </w:r>
    </w:p>
    <w:p w14:paraId="03281D45"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lastRenderedPageBreak/>
        <w:t xml:space="preserve">　　</w:t>
      </w:r>
      <w:r>
        <w:rPr>
          <w:rStyle w:val="a4"/>
          <w:rFonts w:ascii="&amp;quot" w:hAnsi="&amp;quot"/>
          <w:color w:val="333333"/>
          <w:bdr w:val="none" w:sz="0" w:space="0" w:color="auto" w:frame="1"/>
        </w:rPr>
        <w:t>（一）进一步提升政务服务水平。</w:t>
      </w:r>
      <w:r>
        <w:rPr>
          <w:rFonts w:ascii="&amp;quot" w:hAnsi="&amp;quot"/>
          <w:color w:val="333333"/>
        </w:rPr>
        <w:t>各县（市、区）人民政府、市直有关部门要进一步优化政务服务，为股权投资类企业在我市健康发展创造便利条件。市工商部门要落实工商登记便利化的有关规定，简化登记流程，提高办事效率，对股权投资类企业的名称预先核准、工商注册登记等给予便利，提供网上注册服务，在申请材料齐全、符合法定形式的前提下，</w:t>
      </w:r>
      <w:r>
        <w:rPr>
          <w:rFonts w:ascii="&amp;quot" w:hAnsi="&amp;quot"/>
          <w:color w:val="333333"/>
        </w:rPr>
        <w:t>3</w:t>
      </w:r>
      <w:r>
        <w:rPr>
          <w:rFonts w:ascii="&amp;quot" w:hAnsi="&amp;quot"/>
          <w:color w:val="333333"/>
        </w:rPr>
        <w:t>个工作日内完成注册工作。发起人申请设立外商投资股权投资类企业，应由市商务部门配合做好注册登记工作。市财政部门要认真落实国家及省、市出台的支持股权投资基金业发展的财政扶持政策，并结合我市实际，出台具体支持意见。市国税、地税部门要积极落实股权投资类企业专项税收优惠政策。市教育部门要为股权投资类企业高管子女入学提供便利。市政府金融办要为各类股权投资类企业提供政策法规解读、管理人登记、产品备案、相关信息变更等服务。各县（市、区）人民政府要建立相应的制度，积极建立股权投资类企业一体化服务系统和</w:t>
      </w:r>
      <w:r>
        <w:rPr>
          <w:rFonts w:ascii="&amp;quot" w:hAnsi="&amp;quot"/>
          <w:color w:val="333333"/>
        </w:rPr>
        <w:t>“</w:t>
      </w:r>
      <w:r>
        <w:rPr>
          <w:rFonts w:ascii="&amp;quot" w:hAnsi="&amp;quot"/>
          <w:color w:val="333333"/>
        </w:rPr>
        <w:t>绿色通道</w:t>
      </w:r>
      <w:r>
        <w:rPr>
          <w:rFonts w:ascii="&amp;quot" w:hAnsi="&amp;quot"/>
          <w:color w:val="333333"/>
        </w:rPr>
        <w:t>”</w:t>
      </w:r>
      <w:r>
        <w:rPr>
          <w:rFonts w:ascii="&amp;quot" w:hAnsi="&amp;quot"/>
          <w:color w:val="333333"/>
        </w:rPr>
        <w:t>制度，明确各类事项的办理时限，做好股权投资类企业日常管理和服务工作。</w:t>
      </w:r>
    </w:p>
    <w:p w14:paraId="34F78E6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（二）加强政府投资基金引导作用。</w:t>
      </w:r>
      <w:r>
        <w:rPr>
          <w:rFonts w:ascii="&amp;quot" w:hAnsi="&amp;quot"/>
          <w:color w:val="333333"/>
        </w:rPr>
        <w:t>政府投资基金要按照</w:t>
      </w:r>
      <w:r>
        <w:rPr>
          <w:rFonts w:ascii="&amp;quot" w:hAnsi="&amp;quot"/>
          <w:color w:val="333333"/>
        </w:rPr>
        <w:t>“</w:t>
      </w:r>
      <w:r>
        <w:rPr>
          <w:rFonts w:ascii="&amp;quot" w:hAnsi="&amp;quot"/>
          <w:color w:val="333333"/>
        </w:rPr>
        <w:t>政府引导、市场运作、科学决策、防范风险</w:t>
      </w:r>
      <w:r>
        <w:rPr>
          <w:rFonts w:ascii="&amp;quot" w:hAnsi="&amp;quot"/>
          <w:color w:val="333333"/>
        </w:rPr>
        <w:t>”</w:t>
      </w:r>
      <w:r>
        <w:rPr>
          <w:rFonts w:ascii="&amp;quot" w:hAnsi="&amp;quot"/>
          <w:color w:val="333333"/>
        </w:rPr>
        <w:t>原则，充分发挥引导作用，为各类股权投资基金在我市发展创造更大空间。设立市政府投资基金理事会，负责确定政府投资基金投资方向、投资政策等重大事项；对政府投资基金统筹实施政策指导、监督管理、考核评价等；制定政府投资基金管理机构高管人员的公开招聘、推荐、考核等制度。市政府金融办承担市政府投资基金理事会的日常工作。市财政部门要创新财政管理方式，集中财政资金设立政府投资基金，在落实工商、税收、财政、人才等扶持政策的基础上，研究制定相应让利、投资奖励、劣后、风险共担等其他优惠政策，引导股权投资类企业落户，共同推动当地股权投资基金业发展。</w:t>
      </w:r>
    </w:p>
    <w:p w14:paraId="181DB619"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（三）完善股权投资类企业发展环境。</w:t>
      </w:r>
      <w:r>
        <w:rPr>
          <w:rFonts w:ascii="&amp;quot" w:hAnsi="&amp;quot"/>
          <w:color w:val="333333"/>
        </w:rPr>
        <w:t>充分利用政府项目资源优势，建立项目对接机制，将临汾市上市挂牌后备企业</w:t>
      </w:r>
      <w:proofErr w:type="gramStart"/>
      <w:r>
        <w:rPr>
          <w:rFonts w:ascii="&amp;quot" w:hAnsi="&amp;quot"/>
          <w:color w:val="333333"/>
        </w:rPr>
        <w:t>资源库向股权</w:t>
      </w:r>
      <w:proofErr w:type="gramEnd"/>
      <w:r>
        <w:rPr>
          <w:rFonts w:ascii="&amp;quot" w:hAnsi="&amp;quot"/>
          <w:color w:val="333333"/>
        </w:rPr>
        <w:t>投资类企业开放，鼓励在山西股权交易中心挂牌企业与股权投资类企业对接。股权投资类企业投资的企业优先列入我市上市挂牌后备企业资源库，支持其在境内外资本市场上市挂牌。积极推动股权投资类企业与银行、证券、保险等机构的业务交流合作。大力发展律师事务所、会计师事务所和信用担保、评估评级等中介机构，为股权投资类企业提供中介服务，建立完善相关服务体系。</w:t>
      </w:r>
    </w:p>
    <w:p w14:paraId="46DF908F"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r>
        <w:rPr>
          <w:rStyle w:val="a4"/>
          <w:rFonts w:ascii="&amp;quot" w:hAnsi="&amp;quot"/>
          <w:color w:val="333333"/>
          <w:bdr w:val="none" w:sz="0" w:space="0" w:color="auto" w:frame="1"/>
        </w:rPr>
        <w:t>（四）加大宣传培训力度。</w:t>
      </w:r>
      <w:r>
        <w:rPr>
          <w:rFonts w:ascii="&amp;quot" w:hAnsi="&amp;quot"/>
          <w:color w:val="333333"/>
        </w:rPr>
        <w:t>组织各级领导干部、主管部门、监管部门及相关部门的人员参加股权投资基金专题培训，提高对基金业发展的重视程度，深刻理解和认识基金业发展趋势。不定期组织金融论坛、学术研讨、新产品展示、座谈会等多种形式的交流活动，加大对股权投资基金的宣传力度，营造有利于股权投资基金业发展的舆论氛围。</w:t>
      </w:r>
    </w:p>
    <w:p w14:paraId="09B98FA0"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私募证券投资基金和公</w:t>
      </w:r>
      <w:proofErr w:type="gramStart"/>
      <w:r>
        <w:rPr>
          <w:rFonts w:ascii="&amp;quot" w:hAnsi="&amp;quot"/>
          <w:color w:val="333333"/>
        </w:rPr>
        <w:t>募基金</w:t>
      </w:r>
      <w:proofErr w:type="gramEnd"/>
      <w:r>
        <w:rPr>
          <w:rFonts w:ascii="&amp;quot" w:hAnsi="&amp;quot"/>
          <w:color w:val="333333"/>
        </w:rPr>
        <w:t>可参照本意</w:t>
      </w:r>
      <w:proofErr w:type="gramStart"/>
      <w:r>
        <w:rPr>
          <w:rFonts w:ascii="&amp;quot" w:hAnsi="&amp;quot"/>
          <w:color w:val="333333"/>
        </w:rPr>
        <w:t>见执行</w:t>
      </w:r>
      <w:proofErr w:type="gramEnd"/>
      <w:r>
        <w:rPr>
          <w:rFonts w:ascii="&amp;quot" w:hAnsi="&amp;quot"/>
          <w:color w:val="333333"/>
        </w:rPr>
        <w:t>相关优惠政策。</w:t>
      </w:r>
    </w:p>
    <w:p w14:paraId="2EC7A027"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 xml:space="preserve">　　</w:t>
      </w:r>
      <w:proofErr w:type="gramStart"/>
      <w:r>
        <w:rPr>
          <w:rFonts w:ascii="&amp;quot" w:hAnsi="&amp;quot"/>
          <w:color w:val="333333"/>
        </w:rPr>
        <w:t>本意见自印发</w:t>
      </w:r>
      <w:proofErr w:type="gramEnd"/>
      <w:r>
        <w:rPr>
          <w:rFonts w:ascii="&amp;quot" w:hAnsi="&amp;quot"/>
          <w:color w:val="333333"/>
        </w:rPr>
        <w:t>之日起施行。各县（市、区）可结合实际制定配套扶持政策。已制定的政策优于本意见的，继续执行；与本意见不一致的，以本意见为准。</w:t>
      </w:r>
    </w:p>
    <w:p w14:paraId="3B57C665" w14:textId="77777777" w:rsidR="00552FED" w:rsidRDefault="00552FED" w:rsidP="00552FED">
      <w:pPr>
        <w:pStyle w:val="a3"/>
        <w:spacing w:before="0" w:beforeAutospacing="0" w:after="0" w:afterAutospacing="0"/>
        <w:jc w:val="both"/>
        <w:rPr>
          <w:rFonts w:ascii="&amp;quot" w:hAnsi="&amp;quot"/>
          <w:color w:val="333333"/>
        </w:rPr>
      </w:pPr>
    </w:p>
    <w:p w14:paraId="3162DC72" w14:textId="77777777" w:rsidR="00552FED" w:rsidRDefault="00552FED" w:rsidP="00552FED">
      <w:pPr>
        <w:pStyle w:val="a3"/>
        <w:spacing w:before="0" w:beforeAutospacing="0" w:after="0" w:afterAutospacing="0"/>
        <w:jc w:val="both"/>
        <w:rPr>
          <w:rFonts w:ascii="&amp;quot" w:hAnsi="&amp;quot"/>
          <w:color w:val="333333"/>
        </w:rPr>
      </w:pPr>
    </w:p>
    <w:p w14:paraId="38AFCD64" w14:textId="77777777" w:rsidR="00552FED" w:rsidRDefault="00552FED" w:rsidP="00552FED">
      <w:pPr>
        <w:pStyle w:val="a3"/>
        <w:spacing w:before="0" w:beforeAutospacing="0" w:after="0" w:afterAutospacing="0"/>
        <w:jc w:val="both"/>
        <w:rPr>
          <w:rFonts w:ascii="&amp;quot" w:hAnsi="&amp;quot"/>
          <w:color w:val="333333"/>
        </w:rPr>
      </w:pPr>
    </w:p>
    <w:p w14:paraId="4B675636" w14:textId="77777777" w:rsidR="00552FED" w:rsidRDefault="00552FED" w:rsidP="00552FED">
      <w:pPr>
        <w:pStyle w:val="a3"/>
        <w:spacing w:before="0" w:beforeAutospacing="0" w:after="0" w:afterAutospacing="0"/>
        <w:jc w:val="right"/>
        <w:rPr>
          <w:rFonts w:ascii="&amp;quot" w:hAnsi="&amp;quot"/>
          <w:color w:val="333333"/>
        </w:rPr>
      </w:pPr>
      <w:r>
        <w:rPr>
          <w:rFonts w:ascii="&amp;quot" w:hAnsi="&amp;quot"/>
          <w:color w:val="333333"/>
        </w:rPr>
        <w:t>临汾市人民政府</w:t>
      </w:r>
    </w:p>
    <w:p w14:paraId="56632A23" w14:textId="77777777" w:rsidR="00552FED" w:rsidRDefault="00552FED" w:rsidP="00552FED">
      <w:pPr>
        <w:pStyle w:val="a3"/>
        <w:spacing w:before="0" w:beforeAutospacing="0" w:after="0" w:afterAutospacing="0"/>
        <w:jc w:val="right"/>
        <w:rPr>
          <w:rFonts w:ascii="&amp;quot" w:hAnsi="&amp;quot"/>
          <w:color w:val="333333"/>
        </w:rPr>
      </w:pPr>
      <w:r>
        <w:rPr>
          <w:rFonts w:ascii="&amp;quot" w:hAnsi="&amp;quot"/>
          <w:color w:val="333333"/>
        </w:rPr>
        <w:t>2017</w:t>
      </w:r>
      <w:r>
        <w:rPr>
          <w:rFonts w:ascii="&amp;quot" w:hAnsi="&amp;quot"/>
          <w:color w:val="333333"/>
        </w:rPr>
        <w:t>年</w:t>
      </w:r>
      <w:r>
        <w:rPr>
          <w:rFonts w:ascii="&amp;quot" w:hAnsi="&amp;quot"/>
          <w:color w:val="333333"/>
        </w:rPr>
        <w:t>12</w:t>
      </w:r>
      <w:r>
        <w:rPr>
          <w:rFonts w:ascii="&amp;quot" w:hAnsi="&amp;quot"/>
          <w:color w:val="333333"/>
        </w:rPr>
        <w:t>月</w:t>
      </w:r>
      <w:r>
        <w:rPr>
          <w:rFonts w:ascii="&amp;quot" w:hAnsi="&amp;quot"/>
          <w:color w:val="333333"/>
        </w:rPr>
        <w:t>26</w:t>
      </w:r>
      <w:r>
        <w:rPr>
          <w:rFonts w:ascii="&amp;quot" w:hAnsi="&amp;quot"/>
          <w:color w:val="333333"/>
        </w:rPr>
        <w:t>日</w:t>
      </w:r>
    </w:p>
    <w:p w14:paraId="3554565C"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（此件公开发布）</w:t>
      </w:r>
    </w:p>
    <w:p w14:paraId="7F81D27F" w14:textId="77777777" w:rsidR="00552FED" w:rsidRDefault="00552FED" w:rsidP="00552FED">
      <w:pPr>
        <w:pStyle w:val="a3"/>
        <w:spacing w:before="0" w:beforeAutospacing="0" w:after="0" w:afterAutospacing="0"/>
        <w:jc w:val="both"/>
        <w:rPr>
          <w:rFonts w:ascii="&amp;quot" w:hAnsi="&amp;quot"/>
          <w:color w:val="333333"/>
        </w:rPr>
      </w:pPr>
    </w:p>
    <w:p w14:paraId="3275527D" w14:textId="77777777" w:rsidR="00552FED" w:rsidRDefault="00552FED" w:rsidP="00552FED">
      <w:pPr>
        <w:pStyle w:val="a3"/>
        <w:spacing w:before="0" w:beforeAutospacing="0" w:after="0" w:afterAutospacing="0"/>
        <w:jc w:val="both"/>
        <w:rPr>
          <w:rFonts w:ascii="&amp;quot" w:hAnsi="&amp;quot"/>
          <w:color w:val="333333"/>
        </w:rPr>
      </w:pPr>
    </w:p>
    <w:p w14:paraId="59EA6518"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抄送：市委，市人大常委会，市政协，市中级法院，市检察院，人民团体，新闻单位。</w:t>
      </w:r>
    </w:p>
    <w:p w14:paraId="103521D6" w14:textId="77777777" w:rsidR="00552FED" w:rsidRDefault="00552FED" w:rsidP="00552FED">
      <w:pPr>
        <w:pStyle w:val="a3"/>
        <w:spacing w:before="0" w:beforeAutospacing="0" w:after="0" w:afterAutospacing="0"/>
        <w:jc w:val="both"/>
        <w:rPr>
          <w:rFonts w:ascii="&amp;quot" w:hAnsi="&amp;quot"/>
          <w:color w:val="333333"/>
        </w:rPr>
      </w:pPr>
    </w:p>
    <w:p w14:paraId="615FD998" w14:textId="77777777" w:rsidR="00552FED" w:rsidRDefault="00552FED" w:rsidP="00552FED">
      <w:pPr>
        <w:pStyle w:val="a3"/>
        <w:spacing w:before="0" w:beforeAutospacing="0" w:after="0" w:afterAutospacing="0"/>
        <w:jc w:val="both"/>
        <w:rPr>
          <w:rFonts w:ascii="&amp;quot" w:hAnsi="&amp;quot"/>
          <w:color w:val="333333"/>
        </w:rPr>
      </w:pPr>
    </w:p>
    <w:p w14:paraId="352B87AB" w14:textId="77777777" w:rsidR="00552FED" w:rsidRDefault="00552FED" w:rsidP="00552FED">
      <w:pPr>
        <w:pStyle w:val="a3"/>
        <w:spacing w:before="0" w:beforeAutospacing="0" w:after="0" w:afterAutospacing="0"/>
        <w:jc w:val="both"/>
        <w:rPr>
          <w:rFonts w:ascii="&amp;quot" w:hAnsi="&amp;quot"/>
          <w:color w:val="333333"/>
        </w:rPr>
      </w:pPr>
    </w:p>
    <w:p w14:paraId="620070BA"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临汾市人民政府办公厅</w:t>
      </w:r>
      <w:proofErr w:type="gramStart"/>
      <w:r>
        <w:rPr>
          <w:rFonts w:ascii="&amp;quot" w:hAnsi="&amp;quot"/>
          <w:color w:val="333333"/>
        </w:rPr>
        <w:t xml:space="preserve">　　　　　　　　　　　　　　　　　　　　　　　　　　　　　　　　　　　　　</w:t>
      </w:r>
      <w:proofErr w:type="gramEnd"/>
      <w:r>
        <w:rPr>
          <w:rFonts w:ascii="&amp;quot" w:hAnsi="&amp;quot"/>
          <w:color w:val="333333"/>
        </w:rPr>
        <w:t>2017</w:t>
      </w:r>
      <w:r>
        <w:rPr>
          <w:rFonts w:ascii="&amp;quot" w:hAnsi="&amp;quot"/>
          <w:color w:val="333333"/>
        </w:rPr>
        <w:t>年</w:t>
      </w:r>
      <w:r>
        <w:rPr>
          <w:rFonts w:ascii="&amp;quot" w:hAnsi="&amp;quot"/>
          <w:color w:val="333333"/>
        </w:rPr>
        <w:t>12</w:t>
      </w:r>
      <w:r>
        <w:rPr>
          <w:rFonts w:ascii="&amp;quot" w:hAnsi="&amp;quot"/>
          <w:color w:val="333333"/>
        </w:rPr>
        <w:t>月</w:t>
      </w:r>
      <w:r>
        <w:rPr>
          <w:rFonts w:ascii="&amp;quot" w:hAnsi="&amp;quot"/>
          <w:color w:val="333333"/>
        </w:rPr>
        <w:t>26</w:t>
      </w:r>
      <w:r>
        <w:rPr>
          <w:rFonts w:ascii="&amp;quot" w:hAnsi="&amp;quot"/>
          <w:color w:val="333333"/>
        </w:rPr>
        <w:t>日印发</w:t>
      </w:r>
    </w:p>
    <w:p w14:paraId="45F185F5" w14:textId="77777777" w:rsidR="00552FED" w:rsidRDefault="00552FED" w:rsidP="00552FED">
      <w:pPr>
        <w:pStyle w:val="a3"/>
        <w:spacing w:before="0" w:beforeAutospacing="0" w:after="0" w:afterAutospacing="0"/>
        <w:jc w:val="both"/>
        <w:rPr>
          <w:rFonts w:ascii="&amp;quot" w:hAnsi="&amp;quot"/>
          <w:color w:val="333333"/>
        </w:rPr>
      </w:pPr>
    </w:p>
    <w:p w14:paraId="5DACE18B" w14:textId="77777777" w:rsidR="00552FED" w:rsidRDefault="00552FED" w:rsidP="00552FED">
      <w:pPr>
        <w:pStyle w:val="a3"/>
        <w:spacing w:before="0" w:beforeAutospacing="0" w:after="0" w:afterAutospacing="0"/>
        <w:jc w:val="both"/>
        <w:rPr>
          <w:rFonts w:ascii="&amp;quot" w:hAnsi="&amp;quot"/>
          <w:color w:val="333333"/>
        </w:rPr>
      </w:pPr>
      <w:r>
        <w:rPr>
          <w:rFonts w:ascii="&amp;quot" w:hAnsi="&amp;quot"/>
          <w:color w:val="333333"/>
        </w:rPr>
        <w:t>校对：王平（市政府金融办）</w:t>
      </w:r>
      <w:proofErr w:type="gramStart"/>
      <w:r>
        <w:rPr>
          <w:rFonts w:ascii="&amp;quot" w:hAnsi="&amp;quot"/>
          <w:color w:val="333333"/>
        </w:rPr>
        <w:t xml:space="preserve">　　　　　　　　　　　　　　　　　　　　　　　　　　　　　　　　　　</w:t>
      </w:r>
      <w:proofErr w:type="gramEnd"/>
      <w:r>
        <w:rPr>
          <w:rFonts w:ascii="&amp;quot" w:hAnsi="&amp;quot"/>
          <w:color w:val="333333"/>
        </w:rPr>
        <w:t>共印</w:t>
      </w:r>
      <w:r>
        <w:rPr>
          <w:rFonts w:ascii="&amp;quot" w:hAnsi="&amp;quot"/>
          <w:color w:val="333333"/>
        </w:rPr>
        <w:t>200</w:t>
      </w:r>
      <w:r>
        <w:rPr>
          <w:rFonts w:ascii="&amp;quot" w:hAnsi="&amp;quot"/>
          <w:color w:val="333333"/>
        </w:rPr>
        <w:t>份</w:t>
      </w:r>
    </w:p>
    <w:p w14:paraId="0BE15C5E" w14:textId="77777777" w:rsidR="00724110" w:rsidRPr="00552FED" w:rsidRDefault="00724110">
      <w:bookmarkStart w:id="0" w:name="_GoBack"/>
      <w:bookmarkEnd w:id="0"/>
    </w:p>
    <w:sectPr w:rsidR="00724110" w:rsidRPr="00552F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EB"/>
    <w:rsid w:val="00552FED"/>
    <w:rsid w:val="00724110"/>
    <w:rsid w:val="00A04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F8CEF-C53A-4340-A55B-A9173FE4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2FE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2F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4253</Characters>
  <Application>Microsoft Office Word</Application>
  <DocSecurity>0</DocSecurity>
  <Lines>35</Lines>
  <Paragraphs>9</Paragraphs>
  <ScaleCrop>false</ScaleCrop>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2018-05-15T04:08:00Z</dcterms:created>
  <dcterms:modified xsi:type="dcterms:W3CDTF">2018-05-15T04:08:00Z</dcterms:modified>
</cp:coreProperties>
</file>