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3"/>
        <w:gridCol w:w="2442"/>
        <w:gridCol w:w="2035"/>
      </w:tblGrid>
      <w:tr w:rsidR="00653CB4" w:rsidRPr="00653CB4" w:rsidTr="00653CB4">
        <w:trPr>
          <w:trHeight w:val="830"/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653CB4" w:rsidRPr="00653CB4" w:rsidRDefault="00653CB4" w:rsidP="00653CB4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653CB4">
              <w:rPr>
                <w:rFonts w:ascii="微软雅黑" w:eastAsia="微软雅黑" w:hAnsi="微软雅黑" w:cs="宋体" w:hint="eastAsia"/>
                <w:color w:val="000000"/>
                <w:kern w:val="0"/>
                <w:sz w:val="36"/>
                <w:szCs w:val="36"/>
              </w:rPr>
              <w:t>萍乡经济开发区鼓励客商投资若干规定</w:t>
            </w:r>
            <w:bookmarkEnd w:id="0"/>
          </w:p>
        </w:tc>
      </w:tr>
      <w:tr w:rsidR="00653CB4" w:rsidRPr="00653CB4" w:rsidTr="00653CB4">
        <w:trPr>
          <w:trHeight w:val="310"/>
          <w:tblCellSpacing w:w="0" w:type="dxa"/>
          <w:jc w:val="center"/>
        </w:trPr>
        <w:tc>
          <w:tcPr>
            <w:tcW w:w="2250" w:type="pct"/>
            <w:tcBorders>
              <w:bottom w:val="single" w:sz="6" w:space="0" w:color="EFEFEF"/>
            </w:tcBorders>
            <w:tcMar>
              <w:top w:w="0" w:type="dxa"/>
              <w:left w:w="1350" w:type="dxa"/>
              <w:bottom w:w="0" w:type="dxa"/>
              <w:right w:w="0" w:type="dxa"/>
            </w:tcMar>
            <w:vAlign w:val="center"/>
            <w:hideMark/>
          </w:tcPr>
          <w:p w:rsidR="00653CB4" w:rsidRPr="00653CB4" w:rsidRDefault="00653CB4" w:rsidP="00653CB4">
            <w:pPr>
              <w:widowControl/>
              <w:spacing w:line="450" w:lineRule="atLeast"/>
              <w:jc w:val="right"/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</w:pPr>
            <w:r w:rsidRPr="00653CB4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 xml:space="preserve">2010-03-16 </w:t>
            </w:r>
            <w:proofErr w:type="gramStart"/>
            <w:r w:rsidRPr="00653CB4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 xml:space="preserve">　　　　</w:t>
            </w:r>
            <w:proofErr w:type="gramEnd"/>
            <w:r w:rsidRPr="00653CB4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来源：</w:t>
            </w:r>
          </w:p>
        </w:tc>
        <w:tc>
          <w:tcPr>
            <w:tcW w:w="1500" w:type="pct"/>
            <w:tcBorders>
              <w:bottom w:val="single" w:sz="6" w:space="0" w:color="EFEFEF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653CB4" w:rsidRPr="00653CB4" w:rsidRDefault="00653CB4" w:rsidP="00653CB4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</w:pPr>
            <w:r w:rsidRPr="00653CB4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字号：[   </w:t>
            </w:r>
            <w:hyperlink r:id="rId4" w:history="1">
              <w:r w:rsidRPr="00653CB4">
                <w:rPr>
                  <w:rFonts w:ascii="微软雅黑" w:eastAsia="微软雅黑" w:hAnsi="微软雅黑" w:cs="宋体" w:hint="eastAsia"/>
                  <w:color w:val="515151"/>
                  <w:kern w:val="0"/>
                  <w:szCs w:val="21"/>
                </w:rPr>
                <w:t>大</w:t>
              </w:r>
            </w:hyperlink>
            <w:r w:rsidRPr="00653CB4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   </w:t>
            </w:r>
            <w:hyperlink r:id="rId5" w:history="1">
              <w:r w:rsidRPr="00653CB4">
                <w:rPr>
                  <w:rFonts w:ascii="微软雅黑" w:eastAsia="微软雅黑" w:hAnsi="微软雅黑" w:cs="宋体" w:hint="eastAsia"/>
                  <w:color w:val="515151"/>
                  <w:kern w:val="0"/>
                  <w:szCs w:val="21"/>
                </w:rPr>
                <w:t>中</w:t>
              </w:r>
            </w:hyperlink>
            <w:r w:rsidRPr="00653CB4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   </w:t>
            </w:r>
            <w:hyperlink r:id="rId6" w:history="1">
              <w:r w:rsidRPr="00653CB4">
                <w:rPr>
                  <w:rFonts w:ascii="微软雅黑" w:eastAsia="微软雅黑" w:hAnsi="微软雅黑" w:cs="宋体" w:hint="eastAsia"/>
                  <w:color w:val="515151"/>
                  <w:kern w:val="0"/>
                  <w:szCs w:val="21"/>
                </w:rPr>
                <w:t>小</w:t>
              </w:r>
            </w:hyperlink>
            <w:r w:rsidRPr="00653CB4"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  <w:t>   ]</w:t>
            </w:r>
          </w:p>
        </w:tc>
        <w:tc>
          <w:tcPr>
            <w:tcW w:w="1250" w:type="pct"/>
            <w:tcBorders>
              <w:bottom w:val="single" w:sz="6" w:space="0" w:color="EFEFEF"/>
            </w:tcBorders>
            <w:vAlign w:val="center"/>
            <w:hideMark/>
          </w:tcPr>
          <w:p w:rsidR="00653CB4" w:rsidRPr="00653CB4" w:rsidRDefault="00653CB4" w:rsidP="00653CB4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15151"/>
                <w:kern w:val="0"/>
                <w:szCs w:val="21"/>
              </w:rPr>
            </w:pPr>
          </w:p>
        </w:tc>
      </w:tr>
      <w:tr w:rsidR="00653CB4" w:rsidRPr="00653CB4" w:rsidTr="00653CB4">
        <w:trPr>
          <w:trHeight w:val="860"/>
          <w:tblCellSpacing w:w="0" w:type="dxa"/>
          <w:jc w:val="center"/>
        </w:trPr>
        <w:tc>
          <w:tcPr>
            <w:tcW w:w="0" w:type="auto"/>
            <w:gridSpan w:val="3"/>
            <w:tcMar>
              <w:top w:w="375" w:type="dxa"/>
              <w:left w:w="375" w:type="dxa"/>
              <w:bottom w:w="375" w:type="dxa"/>
              <w:right w:w="375" w:type="dxa"/>
            </w:tcMar>
            <w:hideMark/>
          </w:tcPr>
          <w:p w:rsidR="00653CB4" w:rsidRPr="00653CB4" w:rsidRDefault="00653CB4" w:rsidP="00653CB4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</w:pP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为全面落实市委、市政府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坚持科学发展推进城市转型、实现赶超跨越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的发展战略，进一步优化投资环境，拓宽投资渠道，发展外向型经济。把开发区建设成为萍乡高新技术孵化区、循环经济实验区、城市转型示范区。根据国家和省、市有关规定，结合我区实际，制定本规定。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第一条凡在我区投资兴办实业的客商，只要符合国家产业政策，依法登记从事生产经营的，均适用本规定。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第二条投资工业项目的按照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全国工业用地出让最低价标准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通过招标、拍卖、挂牌方式获得国有建设用地使用权。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第三条土地使用权出让最长年限：居住用地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70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年；交通、能源等基础设施用地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60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年；农业、商业、工业、教育、科技、文化、卫生等综合用地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50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年；旅游、娱乐用地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40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年。期满后，可依法续期使用。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第四条入区企业取得的土地，由区管委会相关部门搞好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七通一平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（即通天然气、通电、通路、通邮、通水、通有线电话、通有线电视和平整土地）。也可以协议方式确定由投资者自行平整土地。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 xml:space="preserve">　　第五条新办投资额在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2000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万元以上的工业企业，从获利年度起，五年之内依税率征收的企业所得税地方留成部分，由区财政将前两年的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100%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、后三年的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50%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以企业发展基金的形式扶持给该企业用于扩大规模、技术改造和新产品开发。对纳税额较大的工业企业，区财政将比照其相应的增长幅度给予更大的政策扶持。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第六条投资工业标准厂房建设的，建设类行政事业性</w:t>
            </w:r>
            <w:proofErr w:type="gramStart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收费区</w:t>
            </w:r>
            <w:proofErr w:type="gramEnd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本级部分和其房产出租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8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年内所纳税额区本级部分，每年以企业发展基金的形式补贴给投资者。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第七条投资大型宾馆（四星级〈含〉以上）、大型旅游项目以及三产项目且固定资产投入达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8000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万元以上的，企业所得税地方留成部分，从营业之日起五年内，由区财政将前两年的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40%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、后三年的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20%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以企业发展基金的形式扶持给该企业发展。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第八条鼓励、支持客商投资农业产业化项目，固定资产投资额达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400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万元的，除享受国家、省、市农业优惠政策外，农口主管部门在技术服务、项目配套资金等方面给予重点扶持。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第九条鼓励流通贸易企业</w:t>
            </w:r>
            <w:proofErr w:type="gramStart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入驻区</w:t>
            </w:r>
            <w:proofErr w:type="gramEnd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经贸大厦，优惠及奖励政策具体按照《关于印发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&lt;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江西萍乡经济开发区经贸大厦对外招商方案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&gt;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的通知》（萍开管办字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[2007]15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号）执行。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第十条鼓励光伏产业、电子科技等企业</w:t>
            </w:r>
            <w:proofErr w:type="gramStart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入驻区</w:t>
            </w:r>
            <w:proofErr w:type="gramEnd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万新创业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>园，具体优惠按照《萍乡经济开发区万新创业园对外招商方案》萍开管办字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[2009]167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号办理。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第十一条设立出口创汇奖励机制，鼓励企业做大做强外向型经济，对企业出口创汇，区财政给予适当补贴的奖励。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第十二条对固定资产投资额在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5000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万元以上规模较大的</w:t>
            </w:r>
            <w:proofErr w:type="gramStart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的</w:t>
            </w:r>
            <w:proofErr w:type="gramEnd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工业企业，可以根据项目的实际情况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一事一议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、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proofErr w:type="gramStart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一</w:t>
            </w:r>
            <w:proofErr w:type="gramEnd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企</w:t>
            </w:r>
            <w:proofErr w:type="gramStart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一</w:t>
            </w:r>
            <w:proofErr w:type="gramEnd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策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确定优惠政策。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第十三条入区企业享受国家《中部地区扩大增值税抵扣范围暂行办法》的优惠政策，同时享受国家、省和市制定的其它相关优惠政策。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第十四条对客商投资的高科技和重大工业企业，其行政事业性</w:t>
            </w:r>
            <w:proofErr w:type="gramStart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收费区</w:t>
            </w:r>
            <w:proofErr w:type="gramEnd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本级部分，由区财政在企业发展基金中扶持给该企业扩大生产。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第十五条对投资工业项目的，其水、电、气等经营服务性收费按全市最低标准执行。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第十六条凡来我区投资兴办企业的，所有证照（特种经营许可证除外）由引进单位或区招商部门协助办理，属区内办理审批手续的，在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3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个工作日内办完；须上报省、市有关部门办理审批手续的，由引进单位或招商部门协助及时办理有关手续。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第十七条入区企业在建设和发展过程中存在困难和问题，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>由引进单位提供终身服务制。对投资规模大、科技含量高的工业企业，区管委会将指定一名领导进行挂点服务。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第十八条凡在区内投资的客商以及外来企业需要到区外聘任的高、中级管理人员和专业技术人员，由区管委会核发客商证。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第十九条从帮助、教育和有利于企业发展的角度出发，对在执法检查中，首次发现轻微违法行为，依法可以不处罚的，采取先责令其限期整改，逾期不改再予以处罚。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第二十条严格规范执法行为，对企业</w:t>
            </w:r>
            <w:proofErr w:type="gramStart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作出</w:t>
            </w:r>
            <w:proofErr w:type="gramEnd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罚款或</w:t>
            </w:r>
            <w:proofErr w:type="gramStart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冻帐封</w:t>
            </w:r>
            <w:proofErr w:type="gramEnd"/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物，责令停产停业、吊销许可证照等处罚决定的，实行处罚向区法制办备案制度。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第二十一条严禁乱收费、乱罚款、乱摊派等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三乱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现象的发生。对重点企业区管委会实行挂牌保护，颁发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区重点保护企业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牌。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第二十二条坚决制止强行承包工程和强买强卖现象，严惩干扰企业建设和正常生产经营的违法犯罪行为。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第二十三条企业对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“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索、拿、卡、要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”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和干扰企业建设和正常生产经营秩序的事件或各类违法检查，可向区管委会法制办和区效能办（设在区监察局）投诉或向区公安分局举报。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第二十四条原《萍乡经济开发区鼓励客商投资若干规定》（萍开管字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[2007]41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号）废止，凡本规定颁布前制定的有关规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lastRenderedPageBreak/>
              <w:t>定与本规定不一致的，以本规定为准。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第二十五条本规定由萍乡经济开发区招商局负责解释，自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2010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年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3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月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1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>日起施行。</w:t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br/>
            </w:r>
            <w:r w:rsidRPr="00653CB4">
              <w:rPr>
                <w:rFonts w:ascii="Simsun" w:eastAsia="宋体" w:hAnsi="Simsun" w:cs="宋体"/>
                <w:color w:val="000000"/>
                <w:kern w:val="0"/>
                <w:sz w:val="27"/>
                <w:szCs w:val="27"/>
              </w:rPr>
              <w:t xml:space="preserve">　　</w:t>
            </w:r>
          </w:p>
        </w:tc>
      </w:tr>
    </w:tbl>
    <w:p w:rsidR="00890BF1" w:rsidRPr="00653CB4" w:rsidRDefault="00890BF1"/>
    <w:sectPr w:rsidR="00890BF1" w:rsidRPr="0065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B4"/>
    <w:rsid w:val="00653CB4"/>
    <w:rsid w:val="008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75D19-D6E6-4385-83E7-BB294EEE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C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3C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2)" TargetMode="External"/><Relationship Id="rId5" Type="http://schemas.openxmlformats.org/officeDocument/2006/relationships/hyperlink" Target="javascript:doZoom(14)" TargetMode="External"/><Relationship Id="rId4" Type="http://schemas.openxmlformats.org/officeDocument/2006/relationships/hyperlink" Target="javascript:doZoom(16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2018-05-05T12:34:00Z</dcterms:created>
  <dcterms:modified xsi:type="dcterms:W3CDTF">2018-05-05T12:34:00Z</dcterms:modified>
</cp:coreProperties>
</file>