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0"/>
        <w:jc w:val="center"/>
        <w:rPr>
          <w:rFonts w:ascii="微软雅黑" w:hAnsi="微软雅黑" w:eastAsia="微软雅黑" w:cs="微软雅黑"/>
          <w:i w:val="0"/>
          <w:caps w:val="0"/>
          <w:color w:val="C60000"/>
          <w:spacing w:val="0"/>
          <w:sz w:val="39"/>
          <w:szCs w:val="39"/>
        </w:rPr>
      </w:pPr>
      <w:r>
        <w:rPr>
          <w:rFonts w:hint="eastAsia" w:ascii="微软雅黑" w:hAnsi="微软雅黑" w:eastAsia="微软雅黑" w:cs="微软雅黑"/>
          <w:i w:val="0"/>
          <w:caps w:val="0"/>
          <w:color w:val="C60000"/>
          <w:spacing w:val="0"/>
          <w:sz w:val="39"/>
          <w:szCs w:val="39"/>
          <w:bdr w:val="none" w:color="auto" w:sz="0" w:space="0"/>
        </w:rPr>
        <w:t>碧江区招商引资优惠政策</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hanging="360"/>
        <w:jc w:val="center"/>
      </w:pPr>
      <w:r>
        <w:rPr>
          <w:rStyle w:val="5"/>
          <w:rFonts w:hint="eastAsia" w:ascii="微软雅黑" w:hAnsi="微软雅黑" w:eastAsia="微软雅黑" w:cs="微软雅黑"/>
          <w:i w:val="0"/>
          <w:caps w:val="0"/>
          <w:color w:val="323232"/>
          <w:spacing w:val="0"/>
          <w:sz w:val="18"/>
          <w:szCs w:val="18"/>
          <w:bdr w:val="none" w:color="auto" w:sz="0" w:space="0"/>
        </w:rPr>
        <w:t>字体</w:t>
      </w:r>
      <w:r>
        <w:rPr>
          <w:rFonts w:hint="eastAsia" w:ascii="微软雅黑" w:hAnsi="微软雅黑" w:eastAsia="微软雅黑" w:cs="微软雅黑"/>
          <w:b w:val="0"/>
          <w:i w:val="0"/>
          <w:caps w:val="0"/>
          <w:color w:val="888888"/>
          <w:spacing w:val="0"/>
          <w:sz w:val="18"/>
          <w:szCs w:val="18"/>
          <w:u w:val="none"/>
          <w:bdr w:val="none" w:color="auto" w:sz="0" w:space="0"/>
        </w:rPr>
        <w:fldChar w:fldCharType="begin"/>
      </w:r>
      <w:r>
        <w:rPr>
          <w:rFonts w:hint="eastAsia" w:ascii="微软雅黑" w:hAnsi="微软雅黑" w:eastAsia="微软雅黑" w:cs="微软雅黑"/>
          <w:b w:val="0"/>
          <w:i w:val="0"/>
          <w:caps w:val="0"/>
          <w:color w:val="888888"/>
          <w:spacing w:val="0"/>
          <w:sz w:val="18"/>
          <w:szCs w:val="18"/>
          <w:u w:val="none"/>
          <w:bdr w:val="none" w:color="auto" w:sz="0" w:space="0"/>
        </w:rPr>
        <w:instrText xml:space="preserve"> HYPERLINK "http://www.bjq.gov.cn/wsfw/ztfw/tzfw/tzzc/201607/t20160704_877946.html" </w:instrText>
      </w:r>
      <w:r>
        <w:rPr>
          <w:rFonts w:hint="eastAsia" w:ascii="微软雅黑" w:hAnsi="微软雅黑" w:eastAsia="微软雅黑" w:cs="微软雅黑"/>
          <w:b w:val="0"/>
          <w:i w:val="0"/>
          <w:caps w:val="0"/>
          <w:color w:val="888888"/>
          <w:spacing w:val="0"/>
          <w:sz w:val="18"/>
          <w:szCs w:val="18"/>
          <w:u w:val="none"/>
          <w:bdr w:val="none" w:color="auto" w:sz="0" w:space="0"/>
        </w:rPr>
        <w:fldChar w:fldCharType="separate"/>
      </w:r>
      <w:r>
        <w:rPr>
          <w:rStyle w:val="6"/>
          <w:rFonts w:hint="eastAsia" w:ascii="微软雅黑" w:hAnsi="微软雅黑" w:eastAsia="微软雅黑" w:cs="微软雅黑"/>
          <w:b w:val="0"/>
          <w:i w:val="0"/>
          <w:caps w:val="0"/>
          <w:color w:val="888888"/>
          <w:spacing w:val="0"/>
          <w:sz w:val="18"/>
          <w:szCs w:val="18"/>
          <w:u w:val="none"/>
          <w:bdr w:val="none" w:color="auto" w:sz="0" w:space="0"/>
        </w:rPr>
        <w:t>小</w:t>
      </w:r>
      <w:r>
        <w:rPr>
          <w:rFonts w:hint="eastAsia" w:ascii="微软雅黑" w:hAnsi="微软雅黑" w:eastAsia="微软雅黑" w:cs="微软雅黑"/>
          <w:b w:val="0"/>
          <w:i w:val="0"/>
          <w:caps w:val="0"/>
          <w:color w:val="888888"/>
          <w:spacing w:val="0"/>
          <w:sz w:val="18"/>
          <w:szCs w:val="18"/>
          <w:u w:val="none"/>
          <w:bdr w:val="none" w:color="auto" w:sz="0" w:space="0"/>
        </w:rPr>
        <w:fldChar w:fldCharType="end"/>
      </w:r>
      <w:r>
        <w:rPr>
          <w:rFonts w:hint="eastAsia" w:ascii="微软雅黑" w:hAnsi="微软雅黑" w:eastAsia="微软雅黑" w:cs="微软雅黑"/>
          <w:b w:val="0"/>
          <w:i w:val="0"/>
          <w:caps w:val="0"/>
          <w:color w:val="888888"/>
          <w:spacing w:val="0"/>
          <w:sz w:val="21"/>
          <w:szCs w:val="21"/>
          <w:u w:val="none"/>
          <w:bdr w:val="none" w:color="auto" w:sz="0" w:space="0"/>
        </w:rPr>
        <w:fldChar w:fldCharType="begin"/>
      </w:r>
      <w:r>
        <w:rPr>
          <w:rFonts w:hint="eastAsia" w:ascii="微软雅黑" w:hAnsi="微软雅黑" w:eastAsia="微软雅黑" w:cs="微软雅黑"/>
          <w:b w:val="0"/>
          <w:i w:val="0"/>
          <w:caps w:val="0"/>
          <w:color w:val="888888"/>
          <w:spacing w:val="0"/>
          <w:sz w:val="21"/>
          <w:szCs w:val="21"/>
          <w:u w:val="none"/>
          <w:bdr w:val="none" w:color="auto" w:sz="0" w:space="0"/>
        </w:rPr>
        <w:instrText xml:space="preserve"> HYPERLINK "http://www.bjq.gov.cn/wsfw/ztfw/tzfw/tzzc/201607/t20160704_877946.html" </w:instrText>
      </w:r>
      <w:r>
        <w:rPr>
          <w:rFonts w:hint="eastAsia" w:ascii="微软雅黑" w:hAnsi="微软雅黑" w:eastAsia="微软雅黑" w:cs="微软雅黑"/>
          <w:b w:val="0"/>
          <w:i w:val="0"/>
          <w:caps w:val="0"/>
          <w:color w:val="888888"/>
          <w:spacing w:val="0"/>
          <w:sz w:val="21"/>
          <w:szCs w:val="21"/>
          <w:u w:val="none"/>
          <w:bdr w:val="none" w:color="auto" w:sz="0" w:space="0"/>
        </w:rPr>
        <w:fldChar w:fldCharType="separate"/>
      </w:r>
      <w:r>
        <w:rPr>
          <w:rStyle w:val="6"/>
          <w:rFonts w:hint="eastAsia" w:ascii="微软雅黑" w:hAnsi="微软雅黑" w:eastAsia="微软雅黑" w:cs="微软雅黑"/>
          <w:b w:val="0"/>
          <w:i w:val="0"/>
          <w:caps w:val="0"/>
          <w:color w:val="888888"/>
          <w:spacing w:val="0"/>
          <w:sz w:val="21"/>
          <w:szCs w:val="21"/>
          <w:u w:val="none"/>
          <w:bdr w:val="none" w:color="auto" w:sz="0" w:space="0"/>
        </w:rPr>
        <w:t>中</w:t>
      </w:r>
      <w:r>
        <w:rPr>
          <w:rFonts w:hint="eastAsia" w:ascii="微软雅黑" w:hAnsi="微软雅黑" w:eastAsia="微软雅黑" w:cs="微软雅黑"/>
          <w:b w:val="0"/>
          <w:i w:val="0"/>
          <w:caps w:val="0"/>
          <w:color w:val="888888"/>
          <w:spacing w:val="0"/>
          <w:sz w:val="21"/>
          <w:szCs w:val="21"/>
          <w:u w:val="none"/>
          <w:bdr w:val="none" w:color="auto" w:sz="0" w:space="0"/>
        </w:rPr>
        <w:fldChar w:fldCharType="end"/>
      </w:r>
      <w:r>
        <w:rPr>
          <w:rFonts w:hint="eastAsia" w:ascii="微软雅黑" w:hAnsi="微软雅黑" w:eastAsia="微软雅黑" w:cs="微软雅黑"/>
          <w:b w:val="0"/>
          <w:i w:val="0"/>
          <w:caps w:val="0"/>
          <w:color w:val="888888"/>
          <w:spacing w:val="0"/>
          <w:sz w:val="24"/>
          <w:szCs w:val="24"/>
          <w:u w:val="none"/>
          <w:bdr w:val="none" w:color="auto" w:sz="0" w:space="0"/>
        </w:rPr>
        <w:fldChar w:fldCharType="begin"/>
      </w:r>
      <w:r>
        <w:rPr>
          <w:rFonts w:hint="eastAsia" w:ascii="微软雅黑" w:hAnsi="微软雅黑" w:eastAsia="微软雅黑" w:cs="微软雅黑"/>
          <w:b w:val="0"/>
          <w:i w:val="0"/>
          <w:caps w:val="0"/>
          <w:color w:val="888888"/>
          <w:spacing w:val="0"/>
          <w:sz w:val="24"/>
          <w:szCs w:val="24"/>
          <w:u w:val="none"/>
          <w:bdr w:val="none" w:color="auto" w:sz="0" w:space="0"/>
        </w:rPr>
        <w:instrText xml:space="preserve"> HYPERLINK "http://www.bjq.gov.cn/wsfw/ztfw/tzfw/tzzc/201607/t20160704_877946.html" </w:instrText>
      </w:r>
      <w:r>
        <w:rPr>
          <w:rFonts w:hint="eastAsia" w:ascii="微软雅黑" w:hAnsi="微软雅黑" w:eastAsia="微软雅黑" w:cs="微软雅黑"/>
          <w:b w:val="0"/>
          <w:i w:val="0"/>
          <w:caps w:val="0"/>
          <w:color w:val="888888"/>
          <w:spacing w:val="0"/>
          <w:sz w:val="24"/>
          <w:szCs w:val="24"/>
          <w:u w:val="none"/>
          <w:bdr w:val="none" w:color="auto" w:sz="0" w:space="0"/>
        </w:rPr>
        <w:fldChar w:fldCharType="separate"/>
      </w:r>
      <w:r>
        <w:rPr>
          <w:rStyle w:val="6"/>
          <w:rFonts w:hint="eastAsia" w:ascii="微软雅黑" w:hAnsi="微软雅黑" w:eastAsia="微软雅黑" w:cs="微软雅黑"/>
          <w:b w:val="0"/>
          <w:i w:val="0"/>
          <w:caps w:val="0"/>
          <w:color w:val="888888"/>
          <w:spacing w:val="0"/>
          <w:sz w:val="24"/>
          <w:szCs w:val="24"/>
          <w:u w:val="none"/>
          <w:bdr w:val="none" w:color="auto" w:sz="0" w:space="0"/>
        </w:rPr>
        <w:t>大</w:t>
      </w:r>
      <w:r>
        <w:rPr>
          <w:rFonts w:hint="eastAsia" w:ascii="微软雅黑" w:hAnsi="微软雅黑" w:eastAsia="微软雅黑" w:cs="微软雅黑"/>
          <w:b w:val="0"/>
          <w:i w:val="0"/>
          <w:caps w:val="0"/>
          <w:color w:val="888888"/>
          <w:spacing w:val="0"/>
          <w:sz w:val="24"/>
          <w:szCs w:val="24"/>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hanging="360"/>
        <w:jc w:val="center"/>
      </w:pPr>
      <w:r>
        <w:rPr>
          <w:rStyle w:val="5"/>
          <w:rFonts w:hint="eastAsia" w:ascii="微软雅黑" w:hAnsi="微软雅黑" w:eastAsia="微软雅黑" w:cs="微软雅黑"/>
          <w:i w:val="0"/>
          <w:caps w:val="0"/>
          <w:color w:val="323232"/>
          <w:spacing w:val="0"/>
          <w:sz w:val="18"/>
          <w:szCs w:val="18"/>
          <w:bdr w:val="none" w:color="auto" w:sz="0" w:space="0"/>
        </w:rPr>
        <w:t>发布时间：</w:t>
      </w:r>
      <w:r>
        <w:rPr>
          <w:rFonts w:hint="eastAsia" w:ascii="微软雅黑" w:hAnsi="微软雅黑" w:eastAsia="微软雅黑" w:cs="微软雅黑"/>
          <w:b w:val="0"/>
          <w:i w:val="0"/>
          <w:caps w:val="0"/>
          <w:color w:val="323232"/>
          <w:spacing w:val="0"/>
          <w:sz w:val="18"/>
          <w:szCs w:val="18"/>
          <w:bdr w:val="none" w:color="auto" w:sz="0" w:space="0"/>
        </w:rPr>
        <w:t>2014-06-22 17:04:25        </w:t>
      </w:r>
      <w:r>
        <w:rPr>
          <w:rStyle w:val="5"/>
          <w:rFonts w:hint="eastAsia" w:ascii="微软雅黑" w:hAnsi="微软雅黑" w:eastAsia="微软雅黑" w:cs="微软雅黑"/>
          <w:i w:val="0"/>
          <w:caps w:val="0"/>
          <w:color w:val="323232"/>
          <w:spacing w:val="0"/>
          <w:sz w:val="18"/>
          <w:szCs w:val="18"/>
          <w:bdr w:val="none" w:color="auto" w:sz="0" w:space="0"/>
        </w:rPr>
        <w:t>来源：</w:t>
      </w:r>
      <w:r>
        <w:rPr>
          <w:rFonts w:hint="eastAsia" w:ascii="微软雅黑" w:hAnsi="微软雅黑" w:eastAsia="微软雅黑" w:cs="微软雅黑"/>
          <w:b w:val="0"/>
          <w:i w:val="0"/>
          <w:caps w:val="0"/>
          <w:color w:val="323232"/>
          <w:spacing w:val="0"/>
          <w:sz w:val="18"/>
          <w:szCs w:val="18"/>
          <w:bdr w:val="none" w:color="auto" w:sz="0" w:space="0"/>
        </w:rPr>
        <w:t>投资促进局     </w:t>
      </w:r>
      <w:r>
        <w:rPr>
          <w:rStyle w:val="5"/>
          <w:rFonts w:hint="eastAsia" w:ascii="微软雅黑" w:hAnsi="微软雅黑" w:eastAsia="微软雅黑" w:cs="微软雅黑"/>
          <w:i w:val="0"/>
          <w:caps w:val="0"/>
          <w:color w:val="323232"/>
          <w:spacing w:val="0"/>
          <w:sz w:val="18"/>
          <w:szCs w:val="18"/>
          <w:bdr w:val="none" w:color="auto" w:sz="0" w:space="0"/>
        </w:rPr>
        <w:t>访问量：</w:t>
      </w:r>
      <w:r>
        <w:rPr>
          <w:rFonts w:hint="eastAsia" w:ascii="微软雅黑" w:hAnsi="微软雅黑" w:eastAsia="微软雅黑" w:cs="微软雅黑"/>
          <w:b w:val="0"/>
          <w:i w:val="0"/>
          <w:caps w:val="0"/>
          <w:color w:val="323232"/>
          <w:spacing w:val="0"/>
          <w:sz w:val="18"/>
          <w:szCs w:val="18"/>
          <w:bdr w:val="none" w:color="auto" w:sz="0" w:space="0"/>
        </w:rPr>
        <w:t>1次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hanging="360"/>
        <w:jc w:val="center"/>
      </w:pPr>
      <w:r>
        <w:rPr>
          <w:rFonts w:hint="eastAsia" w:ascii="微软雅黑" w:hAnsi="微软雅黑" w:eastAsia="微软雅黑" w:cs="微软雅黑"/>
          <w:b w:val="0"/>
          <w:i w:val="0"/>
          <w:caps w:val="0"/>
          <w:color w:val="888888"/>
          <w:spacing w:val="0"/>
          <w:sz w:val="18"/>
          <w:szCs w:val="18"/>
          <w:u w:val="none"/>
          <w:bdr w:val="none" w:color="auto" w:sz="0" w:space="0"/>
        </w:rPr>
        <w:t>|    打印本页    |</w:t>
      </w:r>
      <w:r>
        <w:rPr>
          <w:rFonts w:hint="eastAsia" w:ascii="微软雅黑" w:hAnsi="微软雅黑" w:eastAsia="微软雅黑" w:cs="微软雅黑"/>
          <w:b w:val="0"/>
          <w:i w:val="0"/>
          <w:caps w:val="0"/>
          <w:color w:val="323232"/>
          <w:spacing w:val="0"/>
          <w:sz w:val="18"/>
          <w:szCs w:val="18"/>
          <w:bdr w:val="none" w:color="auto" w:sz="0" w:space="0"/>
        </w:rPr>
        <w:t> </w:t>
      </w:r>
      <w:r>
        <w:rPr>
          <w:rFonts w:hint="eastAsia" w:ascii="微软雅黑" w:hAnsi="微软雅黑" w:eastAsia="微软雅黑" w:cs="微软雅黑"/>
          <w:b w:val="0"/>
          <w:i w:val="0"/>
          <w:caps w:val="0"/>
          <w:color w:val="888888"/>
          <w:spacing w:val="0"/>
          <w:sz w:val="18"/>
          <w:szCs w:val="18"/>
          <w:u w:val="none"/>
          <w:bdr w:val="none" w:color="auto" w:sz="0" w:space="0"/>
        </w:rPr>
        <w:fldChar w:fldCharType="begin"/>
      </w:r>
      <w:r>
        <w:rPr>
          <w:rFonts w:hint="eastAsia" w:ascii="微软雅黑" w:hAnsi="微软雅黑" w:eastAsia="微软雅黑" w:cs="微软雅黑"/>
          <w:b w:val="0"/>
          <w:i w:val="0"/>
          <w:caps w:val="0"/>
          <w:color w:val="888888"/>
          <w:spacing w:val="0"/>
          <w:sz w:val="18"/>
          <w:szCs w:val="18"/>
          <w:u w:val="none"/>
          <w:bdr w:val="none" w:color="auto" w:sz="0" w:space="0"/>
        </w:rPr>
        <w:instrText xml:space="preserve"> HYPERLINK "http://www.bjq.gov.cn/wsfw/ztfw/tzfw/tzzc/201607/javascript:window.opener=null;window.close()" </w:instrText>
      </w:r>
      <w:r>
        <w:rPr>
          <w:rFonts w:hint="eastAsia" w:ascii="微软雅黑" w:hAnsi="微软雅黑" w:eastAsia="微软雅黑" w:cs="微软雅黑"/>
          <w:b w:val="0"/>
          <w:i w:val="0"/>
          <w:caps w:val="0"/>
          <w:color w:val="888888"/>
          <w:spacing w:val="0"/>
          <w:sz w:val="18"/>
          <w:szCs w:val="18"/>
          <w:u w:val="none"/>
          <w:bdr w:val="none" w:color="auto" w:sz="0" w:space="0"/>
        </w:rPr>
        <w:fldChar w:fldCharType="separate"/>
      </w:r>
      <w:r>
        <w:rPr>
          <w:rStyle w:val="6"/>
          <w:rFonts w:hint="eastAsia" w:ascii="微软雅黑" w:hAnsi="微软雅黑" w:eastAsia="微软雅黑" w:cs="微软雅黑"/>
          <w:b w:val="0"/>
          <w:i w:val="0"/>
          <w:caps w:val="0"/>
          <w:color w:val="888888"/>
          <w:spacing w:val="0"/>
          <w:sz w:val="18"/>
          <w:szCs w:val="18"/>
          <w:u w:val="none"/>
          <w:bdr w:val="none" w:color="auto" w:sz="0" w:space="0"/>
        </w:rPr>
        <w:t>    关闭本页    |</w:t>
      </w:r>
      <w:r>
        <w:rPr>
          <w:rFonts w:hint="eastAsia" w:ascii="微软雅黑" w:hAnsi="微软雅黑" w:eastAsia="微软雅黑" w:cs="微软雅黑"/>
          <w:b w:val="0"/>
          <w:i w:val="0"/>
          <w:caps w:val="0"/>
          <w:color w:val="888888"/>
          <w:spacing w:val="0"/>
          <w:sz w:val="18"/>
          <w:szCs w:val="18"/>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i w:val="0"/>
          <w:caps w:val="0"/>
          <w:color w:val="333333"/>
          <w:spacing w:val="0"/>
          <w:sz w:val="48"/>
          <w:szCs w:val="48"/>
          <w:bdr w:val="none" w:color="auto" w:sz="0" w:space="0"/>
        </w:rPr>
        <w:t>碧江区招商引资优惠政策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碧府发〔2013〕47号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2013年8月2日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hint="eastAsia" w:ascii="微软雅黑" w:hAnsi="微软雅黑" w:eastAsia="微软雅黑" w:cs="微软雅黑"/>
          <w:b w:val="0"/>
          <w:i w:val="0"/>
          <w:caps w:val="0"/>
          <w:color w:val="333333"/>
          <w:spacing w:val="0"/>
          <w:sz w:val="36"/>
          <w:szCs w:val="3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i w:val="0"/>
          <w:caps w:val="0"/>
          <w:color w:val="333333"/>
          <w:spacing w:val="0"/>
          <w:sz w:val="36"/>
          <w:szCs w:val="36"/>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第一条  为进一步扩大开放，推进招商引资工作，吸引和鼓励投资者积极参与碧江区经济社会建设，促进碧江区经济社会跨越发展，根据《国务院关于进一步促进贵州经济社会又好又快发展的若干意见》(国发〔2012〕2号)、《武陵山片区区域发展与扶贫攻坚规划》和《中共贵州省委、省人民政府关于加强招商引资工作进一步扩大开放的意见》(黔党发〔2010〕18号)文件精神，结合碧江区实际，特制定本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第二条  本政策适用于在碧江区行政区域内投资的国内外投资者；区内外企业、个人和其它经济组织投资兴办的符合国家产业政策的独立核算企业。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第三条  鼓励国内外投资者在碧江区以合资、合作、独资等方式创办国家政策鼓励和允许开发的各类产业和事业。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第四条  鼓励和支持国内外工商企业、社会法人及个人，以参股、控股、承包、租赁、购买等方式参与管理碧江区现有的工商企业。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第五条  凡来碧江区投资建设的企业和个人除享受国家、省、市规定的优惠政策外，同时享受本政策。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第六条  本着“互惠互利，优势互补”的原则，各类投资企业既要注重经济效益，又要注重社会效益和生态效益。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i w:val="0"/>
          <w:caps w:val="0"/>
          <w:color w:val="333333"/>
          <w:spacing w:val="0"/>
          <w:sz w:val="36"/>
          <w:szCs w:val="36"/>
          <w:bdr w:val="none" w:color="auto" w:sz="0" w:space="0"/>
        </w:rPr>
        <w:t>第二章   土地优惠政策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第七条  投资者需使用土地，可根据产业投资导向、投资强度、投资规模、环境影响评价、经济效益各项指标确定供求关系，通过土地出让、土地流转、土地租赁、土地入股等方式取得土地使用权，并享受以下土地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(一)土地出让。凡在碧江区投资兴办企业，按照国家土地政策，通过招、拍、挂的方式取得土地使用权，在出让期内可以依法转让、出租、抵押。出让期满后，土地使用者可以优先继续申请办理土地出让手续。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1.优先保障用地指标：对投资额1000万美元或1亿元人民币以上的项目，优先保障建设用地计划指标，并以“点供”方式优先供地。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2.工业项目优惠供地：落户碧江区内的工业项目，一次性固定资产投资在2000万元以上，每亩均投资额不低于100万元人民币，按照《全国工业用地出让最低价格标准》执行。其中：投资1亿元人民币(含1亿元)以上，每亩投资额不低于100万元人民币，年纳税额不低于每亩10万元人民币的项目，在项目投产后，土地价款实行全额奖励；投资5000万元人民币(含5000万元)以上，每亩投资额不低于80万元人民币，年纳税额不低于每亩6万元人民币的项目，在项目投产后按收取土地价款的50%进行奖励；对投资2000万元人民币(含2000万元)以上，每亩投资额不低于60万元人民币，年纳税额不低于每亩5万元人民币的项目，在项目投产后按收取土地价款的20%进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3.在碧江经济开发区和城镇规划区以外的国家鼓励类、用地集约的工业项目，农、林、牧、渔业产品加工项目，以及文化旅游产业、社会事业发展项目，在确定土地出让底价时按所在土地类别相对应《全国工业用地出让最低价标准》的10%-50%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4.对在城镇规划区以内，投资额度大、产业带动强、税收贡献多的特殊项目，土地优惠政策参照园区优惠供地政策，或实行“一事一议”。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5.在碧江区城区基准地价划分的第II均质以外碧江区城市规划区以内投资新建五星级酒店，在碧江区规划区外新建四星级(含四星级)以上酒店，通过招拍挂取得土地使用权后，项目建成并授牌四星级以上标准的，区级财政所得土地出让金按政策支付土地征用成本费后，其余全部奖励项目业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6.在碧江区城区基准地价划分的第II均质区域以外一次性投资3000万元以上的文化旅游产业，教育、卫生医疗、养老等社会事业项目，且每亩土地固定资产投资达到100万元以上的，可以协议出让，也可以通过招拍挂取得。通过招拍挂取得的，在规定期内完成建设投资运营后，属区级财政收入部分全部奖励项目业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(二)土地入股。工业项目土地入股按土地出让基准地价计算股份，三产和其它项目土地入股按评估价计算股份。在符合政策的前提下，鼓励支持集体土地采取评估方式入股招商引资项目。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(三)土地租赁。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1.国有土地租赁。开发国家鼓励发展的产业项目，可采用短期和长期租赁的方式租用国有土地(国有企业厂房)，短期租赁一般不超过5年，长期租赁一般不超过20年。其租金标准按该片区最低地价执行。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2.需要租赁集体土地的，政府积极做好协调服务工作。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(四)土地流转。鼓励支持流转农村集体土地开发农业产业化项目。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i w:val="0"/>
          <w:caps w:val="0"/>
          <w:color w:val="333333"/>
          <w:spacing w:val="0"/>
          <w:sz w:val="36"/>
          <w:szCs w:val="36"/>
          <w:bdr w:val="none" w:color="auto" w:sz="0" w:space="0"/>
        </w:rPr>
        <w:t>第三章  财政扶持政策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第八条  西部大开发国家鼓励类项目的企业，企业所得税投入生产经营前五年按“免二减三”执行。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第九条  对符合国家产业项目条件的，优先申报列入全省西部开发产业项目贷款计划，可向上申请财政贴息；对属于鼓励投资的重点产业项目、扶贫项目、生态环保项目和重大科技成果转化项目，使用银行贷款时，可申请财政贴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第十条  对于已投资碧江区的生产性企业，企业投产达产后，在原来的基础上新增一条或几条生产线，新增生产线投入生产后，在原来生产产值上翻一番以上的，可延续享受同等的优惠政策；符合条件的，也可享受政府的工业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第十一条  世界500强、国内500强、中央企业及省内外大企业、大集团的工业和商贸物流企业、国内外知名品牌以及高新技术产业、固定资产投资在5亿元以上的特大鼓励类和允许类项目(报区级相关部门审核，市级及以上主管部门认定)来碧江区投资项目实行以“项目带政策”，由区政府按“一企一策”、“一事一议”、“特事特办”的方式，另行议定鼓励、激励政策，并责成相关部门做好投资服务，落实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第十二条  对部分带动性强、效益好的高科技重大项目可为其申报争取引导资金。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第十三条  投资“四荒”(荒山、荒坡、荒滩、荒水)进行开发，实行“谁治理(投资)谁受益”的原则，林木采伐应依法办理采伐手续，改变林地用途和性质的，应依法办理林地使用手续。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第十四条  对于投资商贸、文化旅游产业的项目，按照政府另行出台的相关产业优惠政策执行。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第十五条  鼓励外商投资(含华侨、港澳台同胞)兴办独资、合资、合作经营国家非禁止类项目，固定资产投资300万美元，所缴税收区级财政所得部分前三年全额奖励，后两年60%奖励外资企业用于技术改造和扩大再生产，同时享受省、市最新出台的鼓励外商投资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i w:val="0"/>
          <w:caps w:val="0"/>
          <w:color w:val="333333"/>
          <w:spacing w:val="0"/>
          <w:sz w:val="36"/>
          <w:szCs w:val="36"/>
          <w:bdr w:val="none" w:color="auto" w:sz="0" w:space="0"/>
        </w:rPr>
        <w:t>第四章  规费优惠政策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第十六条  按照国家法律法规的规定并由碧江区收取的行政事业收费，可以享受以下优惠政策：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(一)对国家鼓励类的产业和项目，尤其是科技、教育、卫生、农产品加工、新技术转让、新产品、新材料、新设备开发所有规费实行能减则减，能免则免，地方收取规费按50%收取。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(二)鼓励投资开发“三废”利用，生态保护项目，对投资开发“三废”利用、生态保护项目的企业从生产之日起前三年地方收取规费全免。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(三)对投资通讯、电力、供水、旅游、交通干线的柏油路、水泥路等非营业性基础设施项目的，属区级收取的规费酌情减免。属市级收取的城市建设配套费报请市政府参照有关优惠政策执行。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(四)利用本地资源新建、扩建、技术改造国有集体企业的，属区级收取的规费全免；属市级收取的城市建设配套费报请市政府参照有关优惠政策执行。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五)房地产开发项目在一个集中片区内，建筑面积达到20万平方米以上，承担片区内公共基础设施建设，修建有地下停车场，并保证在规定时间内完成开发任务建设内容的，可以报请市政府参照相关优惠政策执行；棚户区改造及城市综合体、城镇综合体开发项目在此基础上可享受中央及省市相关文件的具体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(六)投资经营者在项目基础设施建设中，使用碧江区权限范围内的水、电、通讯等，可开设“绿色通道”及时办理，区政府负责协调将接口架设至项目区红线，并按物价部门核准的最低标准计价。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(七)投资经营者建设项目，可以自选具有相应规范要求资质或资格的设计施工单位，需要协助提供设计、施工、招投标、质监等服务的，保证优先安排并执行最低收费标准。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(八)以上未涉及的投资项目应缴的规费视其情况酌情处理。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i w:val="0"/>
          <w:caps w:val="0"/>
          <w:color w:val="333333"/>
          <w:spacing w:val="0"/>
          <w:sz w:val="36"/>
          <w:szCs w:val="36"/>
          <w:bdr w:val="none" w:color="auto" w:sz="0" w:space="0"/>
        </w:rPr>
        <w:t>第五章  投资服务政策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第十七条  实行行政服务中心联审联办制度和代办服务(行业主管部门全程代办)，简化报批手续。向投资商提供限时联审联办服务。投资者在碧江区投资兴业，实行“一个窗口对外，一站式审批，一条龙服务”。在报批要件齐全情况下，7个工作日内办好本区内的行政审批手续。行政服务中心未能按承诺的办结时限为外来客商服务，投资商可直接向市、区行政投诉中心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第十八条  投资者凡符合国家政策和相关法律法规的金融服务需求，区内金融机构将提供积极、快捷、优质的金融服务。非常规的、较为重大的金融服务事项，由区委、区政府报请市委、市政府指定专人帮助协调。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第十九条  具体涉及到的部门办理相关审批手续。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一)投资建设项目规划选址、环保初审(按照环保三同时评审)、节能减排初审、国土测绘以及土地补偿、地上种植物和建筑物补偿和搬迁完结、环境影响评价通过审查批准、涉及林地的完成征占用手续批准后，可立即开工建设，其他相关手续由区代办中心和行业主管部门予以代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(二)区发改局在收到相关资料后，按照投资体制改革有关规定，属区级备案项目，须在2个工作日内完成；属上级部门备案的，在报批手续齐全的情况下，须在5个工作日内上报。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三)区规划部门在收到有关批文后，在本局权限范围内的，须在５个工作日内(不含地形图测绘时间)确定项目的建设范围、位置、建筑红线图并提出规划设计要求和规划许可意见，对选址权限属市级或省管的项目，应在5个工作日内向上级部门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(四)区林业、环保、安监、消防等部门在收到完备资料后，属区级可以审批的，应在５个工作日内予以审批，须报上级部门审批的，应在5个工作日内向上级部门申报。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(五)区国土部门在收到相关部门预审意见后，符合用地条件的，须在５个工作日内向有权审批的人民政府申报办理。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第二十条  外商(含华侨、港澳台同胞)投资兴办独资、合资、合作经营国家非禁止类项目，投资额度在2000万美元以下的项目，由区级代办相关手续。投资额度在2000万美元以上的项目，区级协助企业完善办理相关手续。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第二十一条  控制多头检查，优化投资环境。执行“首问责任制、一票收费制、全程代办制、限时办结制、检查报批制、责任追究制”等制度，加强服务，切实保护企业和经营者的合法权益。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第二十二条  实行绿色通行制度。对招商引资项目企业的管理类车辆，碧江区公安分局统一发放《绿色通行证》，实行重点保护，不能随意查扣或处罚。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i w:val="0"/>
          <w:caps w:val="0"/>
          <w:color w:val="333333"/>
          <w:spacing w:val="0"/>
          <w:sz w:val="36"/>
          <w:szCs w:val="36"/>
          <w:bdr w:val="none" w:color="auto" w:sz="0" w:space="0"/>
        </w:rPr>
        <w:t>第六章  户籍及出入境管理政策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第二十三条  放开户籍管理，实行待遇平等制度。凡到碧江区的投资者和外来企业管理人员、技术人员，享有评先树模的平等待遇;对贡献突出、符合有关条件的，给予相应政治待遇。对外来投资者和引资企业的管理人员、技术人员，其子女入学、入伍、就业等方面享受市民待遇。有固定住所和稳定生活来源的企业员工，可以转为常住城镇居民户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第二十四条  提供出入境方便。对国外和港澳台的客商或技术管理人才前来碧江区经商、贸易、投资、讲学及其他智力支持等，在出入境管理上按实际需要确定证件种类、有效期限、换汇数额，在国家出入境管理法律法规允许范围内尽量提供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center"/>
        <w:rPr>
          <w:rFonts w:hint="eastAsia" w:ascii="微软雅黑" w:hAnsi="微软雅黑" w:eastAsia="微软雅黑" w:cs="微软雅黑"/>
        </w:rPr>
      </w:pPr>
      <w:r>
        <w:rPr>
          <w:rFonts w:ascii="宋体" w:hAnsi="宋体" w:eastAsia="宋体" w:cs="宋体"/>
          <w:b/>
          <w:i w:val="0"/>
          <w:caps w:val="0"/>
          <w:color w:val="333333"/>
          <w:spacing w:val="0"/>
          <w:sz w:val="36"/>
          <w:szCs w:val="36"/>
          <w:bdr w:val="none" w:color="auto" w:sz="0" w:space="0"/>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第二十五条  本政策自发布之日起30日后执行。原制定的原县级《铜仁市招商引资优惠政策的若干规定》(铜市委〔2009〕14号)即行废止；本政策自执行之日起，国家、省、市出台新的更加优惠的政策时，从其规定；本规定中如有与国家法律法规相抵触的内容，以国家法律法规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0" w:right="750" w:firstLine="420"/>
        <w:jc w:val="left"/>
        <w:rPr>
          <w:rFonts w:hint="eastAsia" w:ascii="微软雅黑" w:hAnsi="微软雅黑" w:eastAsia="微软雅黑" w:cs="微软雅黑"/>
        </w:rPr>
      </w:pPr>
      <w:r>
        <w:rPr>
          <w:rFonts w:ascii="宋体" w:hAnsi="宋体" w:eastAsia="宋体" w:cs="宋体"/>
          <w:b w:val="0"/>
          <w:i w:val="0"/>
          <w:caps w:val="0"/>
          <w:color w:val="333333"/>
          <w:spacing w:val="0"/>
          <w:sz w:val="36"/>
          <w:szCs w:val="36"/>
          <w:bdr w:val="none" w:color="auto" w:sz="0" w:space="0"/>
        </w:rPr>
        <w:t>第二十六条  本规定由铜仁市碧江区投资促进局负责解释。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EDF077"/>
    <w:multiLevelType w:val="multilevel"/>
    <w:tmpl w:val="8CEDF07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A1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2018-05-23T14:48:33Z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