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7FDDF" w14:textId="77777777" w:rsidR="00E96E55" w:rsidRPr="00E96E55" w:rsidRDefault="00E96E55" w:rsidP="00E96E55">
      <w:pPr>
        <w:widowControl/>
        <w:shd w:val="clear" w:color="auto" w:fill="FFFFFF"/>
        <w:jc w:val="center"/>
        <w:rPr>
          <w:rFonts w:ascii="微软雅黑" w:eastAsia="微软雅黑" w:hAnsi="微软雅黑" w:cs="Times New Roman"/>
          <w:color w:val="2172D1"/>
          <w:kern w:val="0"/>
          <w:sz w:val="36"/>
          <w:szCs w:val="36"/>
        </w:rPr>
      </w:pPr>
      <w:r w:rsidRPr="00E96E55">
        <w:rPr>
          <w:rFonts w:ascii="微软雅黑" w:eastAsia="微软雅黑" w:hAnsi="微软雅黑" w:cs="Times New Roman" w:hint="eastAsia"/>
          <w:color w:val="2172D1"/>
          <w:kern w:val="0"/>
          <w:sz w:val="36"/>
          <w:szCs w:val="36"/>
        </w:rPr>
        <w:t>诏安县人民政府关于进一步扶持建筑业发展的实施意见</w:t>
      </w:r>
    </w:p>
    <w:p w14:paraId="40532190" w14:textId="77777777" w:rsidR="00E96E55" w:rsidRPr="00E96E55" w:rsidRDefault="00E96E55" w:rsidP="00E96E55">
      <w:pPr>
        <w:widowControl/>
        <w:shd w:val="clear" w:color="auto" w:fill="FFFFFF"/>
        <w:jc w:val="center"/>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诏安政府网 日期：2017-11-25 00:00  来源：   【字体：大 中 小】</w:t>
      </w:r>
    </w:p>
    <w:p w14:paraId="503B6B13"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p>
    <w:p w14:paraId="1287A8F9"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各乡镇人民政府，诏安工业园区、金都工业集中区管委会，县直各有关单位：</w:t>
      </w:r>
    </w:p>
    <w:p w14:paraId="796A0F9A"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为进一步扶持我县建筑业发展，切实提高建筑业的整体素质和综合竞争力，根据《漳州市人民政府关于促进建筑业持续健康发展壮大的实施意见》（漳政综〔2015〕</w:t>
      </w:r>
      <w:r w:rsidRPr="00E96E55">
        <w:rPr>
          <w:rFonts w:ascii="微软雅黑" w:eastAsia="微软雅黑" w:hAnsi="微软雅黑" w:cs="Times New Roman" w:hint="eastAsia"/>
          <w:color w:val="000000"/>
          <w:kern w:val="0"/>
          <w:sz w:val="21"/>
          <w:szCs w:val="21"/>
          <w:bdr w:val="none" w:sz="0" w:space="0" w:color="auto" w:frame="1"/>
        </w:rPr>
        <w:t>42</w:t>
      </w:r>
      <w:r w:rsidRPr="00E96E55">
        <w:rPr>
          <w:rFonts w:ascii="微软雅黑" w:eastAsia="微软雅黑" w:hAnsi="微软雅黑" w:cs="Times New Roman" w:hint="eastAsia"/>
          <w:color w:val="000000"/>
          <w:kern w:val="0"/>
          <w:sz w:val="21"/>
          <w:szCs w:val="21"/>
        </w:rPr>
        <w:t>号）、《漳州市人民政府关于进一步促进建筑业加快发展的补充意见》（漳政综〔</w:t>
      </w:r>
      <w:r w:rsidRPr="00E96E55">
        <w:rPr>
          <w:rFonts w:ascii="微软雅黑" w:eastAsia="微软雅黑" w:hAnsi="微软雅黑" w:cs="Times New Roman" w:hint="eastAsia"/>
          <w:color w:val="000000"/>
          <w:kern w:val="0"/>
          <w:sz w:val="21"/>
          <w:szCs w:val="21"/>
          <w:bdr w:val="none" w:sz="0" w:space="0" w:color="auto" w:frame="1"/>
        </w:rPr>
        <w:t>2016</w:t>
      </w:r>
      <w:r w:rsidRPr="00E96E55">
        <w:rPr>
          <w:rFonts w:ascii="微软雅黑" w:eastAsia="微软雅黑" w:hAnsi="微软雅黑" w:cs="Times New Roman" w:hint="eastAsia"/>
          <w:color w:val="000000"/>
          <w:kern w:val="0"/>
          <w:sz w:val="21"/>
          <w:szCs w:val="21"/>
        </w:rPr>
        <w:t>〕</w:t>
      </w:r>
      <w:r w:rsidRPr="00E96E55">
        <w:rPr>
          <w:rFonts w:ascii="微软雅黑" w:eastAsia="微软雅黑" w:hAnsi="微软雅黑" w:cs="Times New Roman" w:hint="eastAsia"/>
          <w:color w:val="000000"/>
          <w:kern w:val="0"/>
          <w:sz w:val="21"/>
          <w:szCs w:val="21"/>
          <w:bdr w:val="none" w:sz="0" w:space="0" w:color="auto" w:frame="1"/>
        </w:rPr>
        <w:t>142</w:t>
      </w:r>
      <w:r w:rsidRPr="00E96E55">
        <w:rPr>
          <w:rFonts w:ascii="微软雅黑" w:eastAsia="微软雅黑" w:hAnsi="微软雅黑" w:cs="Times New Roman" w:hint="eastAsia"/>
          <w:color w:val="000000"/>
          <w:kern w:val="0"/>
          <w:sz w:val="21"/>
          <w:szCs w:val="21"/>
        </w:rPr>
        <w:t>号）及《中共诏安县委办公室 诏安县人民政府办公室印发〈诏安县关于规范政府投资小规模工程招投标活动的实施意见〉的通知》（诏委办〔</w:t>
      </w:r>
      <w:r w:rsidRPr="00E96E55">
        <w:rPr>
          <w:rFonts w:ascii="微软雅黑" w:eastAsia="微软雅黑" w:hAnsi="微软雅黑" w:cs="Times New Roman" w:hint="eastAsia"/>
          <w:color w:val="000000"/>
          <w:kern w:val="0"/>
          <w:sz w:val="21"/>
          <w:szCs w:val="21"/>
          <w:bdr w:val="none" w:sz="0" w:space="0" w:color="auto" w:frame="1"/>
        </w:rPr>
        <w:t>2016</w:t>
      </w:r>
      <w:r w:rsidRPr="00E96E55">
        <w:rPr>
          <w:rFonts w:ascii="微软雅黑" w:eastAsia="微软雅黑" w:hAnsi="微软雅黑" w:cs="Times New Roman" w:hint="eastAsia"/>
          <w:color w:val="000000"/>
          <w:kern w:val="0"/>
          <w:sz w:val="21"/>
          <w:szCs w:val="21"/>
        </w:rPr>
        <w:t>〕</w:t>
      </w:r>
      <w:r w:rsidRPr="00E96E55">
        <w:rPr>
          <w:rFonts w:ascii="微软雅黑" w:eastAsia="微软雅黑" w:hAnsi="微软雅黑" w:cs="Times New Roman" w:hint="eastAsia"/>
          <w:color w:val="000000"/>
          <w:kern w:val="0"/>
          <w:sz w:val="21"/>
          <w:szCs w:val="21"/>
          <w:bdr w:val="none" w:sz="0" w:space="0" w:color="auto" w:frame="1"/>
        </w:rPr>
        <w:t>18</w:t>
      </w:r>
      <w:r w:rsidRPr="00E96E55">
        <w:rPr>
          <w:rFonts w:ascii="微软雅黑" w:eastAsia="微软雅黑" w:hAnsi="微软雅黑" w:cs="Times New Roman" w:hint="eastAsia"/>
          <w:color w:val="000000"/>
          <w:kern w:val="0"/>
          <w:sz w:val="21"/>
          <w:szCs w:val="21"/>
        </w:rPr>
        <w:t>号）等文件精神，经</w:t>
      </w:r>
      <w:r w:rsidRPr="00E96E55">
        <w:rPr>
          <w:rFonts w:ascii="微软雅黑" w:eastAsia="微软雅黑" w:hAnsi="微软雅黑" w:cs="Times New Roman" w:hint="eastAsia"/>
          <w:color w:val="000000"/>
          <w:kern w:val="0"/>
          <w:sz w:val="21"/>
          <w:szCs w:val="21"/>
          <w:bdr w:val="none" w:sz="0" w:space="0" w:color="auto" w:frame="1"/>
        </w:rPr>
        <w:t>2017</w:t>
      </w:r>
      <w:r w:rsidRPr="00E96E55">
        <w:rPr>
          <w:rFonts w:ascii="微软雅黑" w:eastAsia="微软雅黑" w:hAnsi="微软雅黑" w:cs="Times New Roman" w:hint="eastAsia"/>
          <w:color w:val="000000"/>
          <w:kern w:val="0"/>
          <w:sz w:val="21"/>
          <w:szCs w:val="21"/>
        </w:rPr>
        <w:t>年第四次县政府常务会研究通过，制定本实施意见。</w:t>
      </w:r>
    </w:p>
    <w:p w14:paraId="74E57B28"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color w:val="000000"/>
          <w:kern w:val="0"/>
          <w:sz w:val="21"/>
          <w:szCs w:val="21"/>
          <w:bdr w:val="none" w:sz="0" w:space="0" w:color="auto" w:frame="1"/>
        </w:rPr>
        <w:t>一、指导思想</w:t>
      </w:r>
    </w:p>
    <w:p w14:paraId="22B2A33F"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积极响应“海西建设、漳州先行、诏安崛起”。以加快建筑业发展方式转变和产业结构调整为主线，以保障工程质量安全为核心，进一步规范建筑市场秩序，发挥政府政策的引导与扶持作用，引导企业转变发展方式，调整产业结构，积极拓展域外市场，扶持企业升级创优、做大做强，为实现我县建筑业持续快速健康发展营造良好的政策环境和服务环境，推动我县经济和社会可持续发展。</w:t>
      </w:r>
    </w:p>
    <w:p w14:paraId="3A2D6926"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color w:val="000000"/>
          <w:kern w:val="0"/>
          <w:sz w:val="21"/>
          <w:szCs w:val="21"/>
          <w:bdr w:val="none" w:sz="0" w:space="0" w:color="auto" w:frame="1"/>
        </w:rPr>
        <w:t>二、发展目标</w:t>
      </w:r>
    </w:p>
    <w:p w14:paraId="7B27B8A8"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调整优化产业结构，促进企业资质提升、增项兼营，多方位拓展经营领域，打造建筑业龙头企业。通过政策扶持，鼓励有条件大型企业从单一业务领域向多领域发展，增强综合竞争实力；促进中小型企业向专、特、精发展，拓宽中小型企业发展市场空间。加大科技投入，制定推进和鼓励企业技术创新相关政策，完善相关激励机制，促进行业管理技</w:t>
      </w:r>
      <w:r w:rsidRPr="00E96E55">
        <w:rPr>
          <w:rFonts w:ascii="微软雅黑" w:eastAsia="微软雅黑" w:hAnsi="微软雅黑" w:cs="Times New Roman" w:hint="eastAsia"/>
          <w:color w:val="000000"/>
          <w:kern w:val="0"/>
          <w:sz w:val="21"/>
          <w:szCs w:val="21"/>
        </w:rPr>
        <w:lastRenderedPageBreak/>
        <w:t>术进步；建立健全完善人才培养、引进、使用的激励机制，为企业的可持续发展提供保障。通过规范建筑市场秩序，完善市场准入退出制度，强化各方主体责任，增强建筑工程安全性、适用性及耐久性；通过奖优罚劣，倡导企业创优意识，树立企业品牌，提升企业品位，加强企业文化建设，创造更多精品工程；改善建筑市场营运环境，提供健康有序竞争平台，稳步提升企业业绩，提高我县建筑企业在省内外市场份额。</w:t>
      </w:r>
    </w:p>
    <w:p w14:paraId="3DE40DC7"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color w:val="000000"/>
          <w:kern w:val="0"/>
          <w:sz w:val="21"/>
          <w:szCs w:val="21"/>
          <w:bdr w:val="none" w:sz="0" w:space="0" w:color="auto" w:frame="1"/>
        </w:rPr>
        <w:t>三、政策措施</w:t>
      </w:r>
    </w:p>
    <w:p w14:paraId="70F151CC"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b/>
          <w:bCs/>
          <w:color w:val="000000"/>
          <w:kern w:val="0"/>
          <w:sz w:val="21"/>
          <w:szCs w:val="21"/>
        </w:rPr>
        <w:t>（一）发展建筑企业总部，促进建筑产业聚集</w:t>
      </w:r>
    </w:p>
    <w:p w14:paraId="74DBFC63"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根据建筑业发展需求，选择适合地块，规划建设建筑业总部基地，引导建筑企业集中发展，提高产业集聚水平，做大做强建筑业总部经济。县政府将安排一定数量的土地，参照工业企业供地的优惠政策，专门用于解决建筑企业办公、仓储、生产、科研用地需求。对于总承包一级建筑施工企业，年产值5亿元以上（含，下同）、年纳税额</w:t>
      </w:r>
      <w:r w:rsidRPr="00E96E55">
        <w:rPr>
          <w:rFonts w:ascii="微软雅黑" w:eastAsia="微软雅黑" w:hAnsi="微软雅黑" w:cs="Times New Roman" w:hint="eastAsia"/>
          <w:color w:val="000000"/>
          <w:kern w:val="0"/>
          <w:sz w:val="21"/>
          <w:szCs w:val="21"/>
          <w:bdr w:val="none" w:sz="0" w:space="0" w:color="auto" w:frame="1"/>
        </w:rPr>
        <w:t>1500</w:t>
      </w:r>
      <w:r w:rsidRPr="00E96E55">
        <w:rPr>
          <w:rFonts w:ascii="微软雅黑" w:eastAsia="微软雅黑" w:hAnsi="微软雅黑" w:cs="Times New Roman" w:hint="eastAsia"/>
          <w:color w:val="000000"/>
          <w:kern w:val="0"/>
          <w:sz w:val="21"/>
          <w:szCs w:val="21"/>
        </w:rPr>
        <w:t>万元以上，用地不超过</w:t>
      </w:r>
      <w:r w:rsidRPr="00E96E55">
        <w:rPr>
          <w:rFonts w:ascii="微软雅黑" w:eastAsia="微软雅黑" w:hAnsi="微软雅黑" w:cs="Times New Roman" w:hint="eastAsia"/>
          <w:color w:val="000000"/>
          <w:kern w:val="0"/>
          <w:sz w:val="21"/>
          <w:szCs w:val="21"/>
          <w:bdr w:val="none" w:sz="0" w:space="0" w:color="auto" w:frame="1"/>
        </w:rPr>
        <w:t>20</w:t>
      </w:r>
      <w:r w:rsidRPr="00E96E55">
        <w:rPr>
          <w:rFonts w:ascii="微软雅黑" w:eastAsia="微软雅黑" w:hAnsi="微软雅黑" w:cs="Times New Roman" w:hint="eastAsia"/>
          <w:color w:val="000000"/>
          <w:kern w:val="0"/>
          <w:sz w:val="21"/>
          <w:szCs w:val="21"/>
        </w:rPr>
        <w:t>亩；对于总承包二级建筑施工企业，年产值</w:t>
      </w:r>
      <w:r w:rsidRPr="00E96E55">
        <w:rPr>
          <w:rFonts w:ascii="微软雅黑" w:eastAsia="微软雅黑" w:hAnsi="微软雅黑" w:cs="Times New Roman" w:hint="eastAsia"/>
          <w:color w:val="000000"/>
          <w:kern w:val="0"/>
          <w:sz w:val="21"/>
          <w:szCs w:val="21"/>
          <w:bdr w:val="none" w:sz="0" w:space="0" w:color="auto" w:frame="1"/>
        </w:rPr>
        <w:t>2.7</w:t>
      </w:r>
      <w:r w:rsidRPr="00E96E55">
        <w:rPr>
          <w:rFonts w:ascii="微软雅黑" w:eastAsia="微软雅黑" w:hAnsi="微软雅黑" w:cs="Times New Roman" w:hint="eastAsia"/>
          <w:color w:val="000000"/>
          <w:kern w:val="0"/>
          <w:sz w:val="21"/>
          <w:szCs w:val="21"/>
        </w:rPr>
        <w:t>亿元以上、年纳税额</w:t>
      </w:r>
      <w:r w:rsidRPr="00E96E55">
        <w:rPr>
          <w:rFonts w:ascii="微软雅黑" w:eastAsia="微软雅黑" w:hAnsi="微软雅黑" w:cs="Times New Roman" w:hint="eastAsia"/>
          <w:color w:val="000000"/>
          <w:kern w:val="0"/>
          <w:sz w:val="21"/>
          <w:szCs w:val="21"/>
          <w:bdr w:val="none" w:sz="0" w:space="0" w:color="auto" w:frame="1"/>
        </w:rPr>
        <w:t>800</w:t>
      </w:r>
      <w:r w:rsidRPr="00E96E55">
        <w:rPr>
          <w:rFonts w:ascii="微软雅黑" w:eastAsia="微软雅黑" w:hAnsi="微软雅黑" w:cs="Times New Roman" w:hint="eastAsia"/>
          <w:color w:val="000000"/>
          <w:kern w:val="0"/>
          <w:sz w:val="21"/>
          <w:szCs w:val="21"/>
        </w:rPr>
        <w:t>万元以上，用地不超过</w:t>
      </w:r>
      <w:r w:rsidRPr="00E96E55">
        <w:rPr>
          <w:rFonts w:ascii="微软雅黑" w:eastAsia="微软雅黑" w:hAnsi="微软雅黑" w:cs="Times New Roman" w:hint="eastAsia"/>
          <w:color w:val="000000"/>
          <w:kern w:val="0"/>
          <w:sz w:val="21"/>
          <w:szCs w:val="21"/>
          <w:bdr w:val="none" w:sz="0" w:space="0" w:color="auto" w:frame="1"/>
        </w:rPr>
        <w:t>15</w:t>
      </w:r>
      <w:r w:rsidRPr="00E96E55">
        <w:rPr>
          <w:rFonts w:ascii="微软雅黑" w:eastAsia="微软雅黑" w:hAnsi="微软雅黑" w:cs="Times New Roman" w:hint="eastAsia"/>
          <w:color w:val="000000"/>
          <w:kern w:val="0"/>
          <w:sz w:val="21"/>
          <w:szCs w:val="21"/>
        </w:rPr>
        <w:t>亩。建筑业企业在非工业区建设总部基地的，在招标拍卖挂牌出让土地使用权时，可以设定施工产值、税收作为前置条件。企业享受本优惠条件取得的土地，只能用于总部及基地建设，不能交易；如用于其他用途，政府有权收回该土地。总部设在我县的建筑业企业的高层次管理技术人才可纳入我县人才公共租赁住房供应范围，优先安排房源。同时，鼓励县外施工企业到我县设立分公司。</w:t>
      </w:r>
    </w:p>
    <w:p w14:paraId="366E56C7"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b/>
          <w:bCs/>
          <w:color w:val="000000"/>
          <w:kern w:val="0"/>
          <w:sz w:val="21"/>
          <w:szCs w:val="21"/>
        </w:rPr>
        <w:t>（二）实行财政奖励措施，扶持企业做大做强</w:t>
      </w:r>
    </w:p>
    <w:p w14:paraId="4203F107"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加大对我县建筑企业的扶持力度，在资质增项、升级、变更办理上予以倾斜和奖励，积极培育打造建筑业龙头企业和企业集团。由县财政局落实奖励措施，对企业升级给予奖励和补助，晋升总承包一级的企业一次性奖励100万元；晋升为总承包二级的企业一次性奖励</w:t>
      </w:r>
      <w:r w:rsidRPr="00E96E55">
        <w:rPr>
          <w:rFonts w:ascii="微软雅黑" w:eastAsia="微软雅黑" w:hAnsi="微软雅黑" w:cs="Times New Roman" w:hint="eastAsia"/>
          <w:color w:val="000000"/>
          <w:kern w:val="0"/>
          <w:sz w:val="21"/>
          <w:szCs w:val="21"/>
          <w:bdr w:val="none" w:sz="0" w:space="0" w:color="auto" w:frame="1"/>
        </w:rPr>
        <w:t>50</w:t>
      </w:r>
      <w:r w:rsidRPr="00E96E55">
        <w:rPr>
          <w:rFonts w:ascii="微软雅黑" w:eastAsia="微软雅黑" w:hAnsi="微软雅黑" w:cs="Times New Roman" w:hint="eastAsia"/>
          <w:color w:val="000000"/>
          <w:kern w:val="0"/>
          <w:sz w:val="21"/>
          <w:szCs w:val="21"/>
        </w:rPr>
        <w:t>万元；晋升为专业承包一级的企业一次性奖励</w:t>
      </w:r>
      <w:r w:rsidRPr="00E96E55">
        <w:rPr>
          <w:rFonts w:ascii="微软雅黑" w:eastAsia="微软雅黑" w:hAnsi="微软雅黑" w:cs="Times New Roman" w:hint="eastAsia"/>
          <w:color w:val="000000"/>
          <w:kern w:val="0"/>
          <w:sz w:val="21"/>
          <w:szCs w:val="21"/>
          <w:bdr w:val="none" w:sz="0" w:space="0" w:color="auto" w:frame="1"/>
        </w:rPr>
        <w:t>15</w:t>
      </w:r>
      <w:r w:rsidRPr="00E96E55">
        <w:rPr>
          <w:rFonts w:ascii="微软雅黑" w:eastAsia="微软雅黑" w:hAnsi="微软雅黑" w:cs="Times New Roman" w:hint="eastAsia"/>
          <w:color w:val="000000"/>
          <w:kern w:val="0"/>
          <w:sz w:val="21"/>
          <w:szCs w:val="21"/>
        </w:rPr>
        <w:t>万元；增项目资质达到一级的，每增加一项奖励</w:t>
      </w:r>
      <w:r w:rsidRPr="00E96E55">
        <w:rPr>
          <w:rFonts w:ascii="微软雅黑" w:eastAsia="微软雅黑" w:hAnsi="微软雅黑" w:cs="Times New Roman" w:hint="eastAsia"/>
          <w:color w:val="000000"/>
          <w:kern w:val="0"/>
          <w:sz w:val="21"/>
          <w:szCs w:val="21"/>
          <w:bdr w:val="none" w:sz="0" w:space="0" w:color="auto" w:frame="1"/>
        </w:rPr>
        <w:t>15</w:t>
      </w:r>
      <w:r w:rsidRPr="00E96E55">
        <w:rPr>
          <w:rFonts w:ascii="微软雅黑" w:eastAsia="微软雅黑" w:hAnsi="微软雅黑" w:cs="Times New Roman" w:hint="eastAsia"/>
          <w:color w:val="000000"/>
          <w:kern w:val="0"/>
          <w:sz w:val="21"/>
          <w:szCs w:val="21"/>
        </w:rPr>
        <w:t>万元；晋升为专业承包二级的企业一次性奖励</w:t>
      </w:r>
      <w:r w:rsidRPr="00E96E55">
        <w:rPr>
          <w:rFonts w:ascii="微软雅黑" w:eastAsia="微软雅黑" w:hAnsi="微软雅黑" w:cs="Times New Roman" w:hint="eastAsia"/>
          <w:color w:val="000000"/>
          <w:kern w:val="0"/>
          <w:sz w:val="21"/>
          <w:szCs w:val="21"/>
          <w:bdr w:val="none" w:sz="0" w:space="0" w:color="auto" w:frame="1"/>
        </w:rPr>
        <w:t>10</w:t>
      </w:r>
      <w:r w:rsidRPr="00E96E55">
        <w:rPr>
          <w:rFonts w:ascii="微软雅黑" w:eastAsia="微软雅黑" w:hAnsi="微软雅黑" w:cs="Times New Roman" w:hint="eastAsia"/>
          <w:color w:val="000000"/>
          <w:kern w:val="0"/>
          <w:sz w:val="21"/>
          <w:szCs w:val="21"/>
        </w:rPr>
        <w:t>万元；增项目资质达到二级的，每增加一项奖励</w:t>
      </w:r>
      <w:r w:rsidRPr="00E96E55">
        <w:rPr>
          <w:rFonts w:ascii="微软雅黑" w:eastAsia="微软雅黑" w:hAnsi="微软雅黑" w:cs="Times New Roman" w:hint="eastAsia"/>
          <w:color w:val="000000"/>
          <w:kern w:val="0"/>
          <w:sz w:val="21"/>
          <w:szCs w:val="21"/>
          <w:bdr w:val="none" w:sz="0" w:space="0" w:color="auto" w:frame="1"/>
        </w:rPr>
        <w:t>10</w:t>
      </w:r>
      <w:r w:rsidRPr="00E96E55">
        <w:rPr>
          <w:rFonts w:ascii="微软雅黑" w:eastAsia="微软雅黑" w:hAnsi="微软雅黑" w:cs="Times New Roman" w:hint="eastAsia"/>
          <w:color w:val="000000"/>
          <w:kern w:val="0"/>
          <w:sz w:val="21"/>
          <w:szCs w:val="21"/>
        </w:rPr>
        <w:t>万元。奖励资金由县财政局列入预算，用于经营场所、“企业总部”“企业基地”建设或购置工程机械设备。</w:t>
      </w:r>
    </w:p>
    <w:p w14:paraId="2C426020"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对“回归”或“引进”的建筑业企业，其在我县缴纳的税额，县本级分成部分给予</w:t>
      </w:r>
      <w:r w:rsidRPr="00E96E55">
        <w:rPr>
          <w:rFonts w:ascii="微软雅黑" w:eastAsia="微软雅黑" w:hAnsi="微软雅黑" w:cs="Times New Roman" w:hint="eastAsia"/>
          <w:color w:val="000000"/>
          <w:kern w:val="0"/>
          <w:sz w:val="21"/>
          <w:szCs w:val="21"/>
          <w:bdr w:val="none" w:sz="0" w:space="0" w:color="auto" w:frame="1"/>
        </w:rPr>
        <w:t>30%</w:t>
      </w:r>
      <w:r w:rsidRPr="00E96E55">
        <w:rPr>
          <w:rFonts w:ascii="微软雅黑" w:eastAsia="微软雅黑" w:hAnsi="微软雅黑" w:cs="Times New Roman" w:hint="eastAsia"/>
          <w:color w:val="000000"/>
          <w:kern w:val="0"/>
          <w:sz w:val="21"/>
          <w:szCs w:val="21"/>
        </w:rPr>
        <w:t>的奖励，一级建筑总承包企业连续奖励三年；二级建筑总承包企业连续奖励三年；三级建筑总承包企业连续奖励三年；奖励和补助资金由县财政部门列入预算。对符合总部经济条件的企业，按县政府出台的有关优惠政策执行，但不得重复奖励，按最高项给予奖励。</w:t>
      </w:r>
    </w:p>
    <w:p w14:paraId="096E8984"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“回归”或“引进”受到奖励的企业五年内迁出本县的，追回全部奖励资金及相应利息。晋升资质等级受到奖励的企业五年内迁出本县的，追回全部资质晋升奖励资金及相应利息。</w:t>
      </w:r>
    </w:p>
    <w:p w14:paraId="709E30EB" w14:textId="77777777" w:rsidR="00E96E55" w:rsidRPr="00E96E55" w:rsidRDefault="00E96E55" w:rsidP="00E96E55">
      <w:pPr>
        <w:widowControl/>
        <w:shd w:val="clear" w:color="auto" w:fill="FFFFFF"/>
        <w:spacing w:line="450" w:lineRule="atLeas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color w:val="000000"/>
          <w:kern w:val="0"/>
          <w:sz w:val="21"/>
          <w:szCs w:val="21"/>
          <w:bdr w:val="none" w:sz="0" w:space="0" w:color="auto" w:frame="1"/>
        </w:rPr>
        <w:t>创造条件鼓励建筑业企业发展壮大。本县企业达到以下条件，当年度一次性给予奖励30万元；产值每增加2亿元且纳税每增加600万元的，奖励金额增加20万元。</w:t>
      </w:r>
    </w:p>
    <w:p w14:paraId="7FC78866" w14:textId="77777777" w:rsidR="00E96E55" w:rsidRPr="00E96E55" w:rsidRDefault="00E96E55" w:rsidP="00E96E55">
      <w:pPr>
        <w:widowControl/>
        <w:shd w:val="clear" w:color="auto" w:fill="FFFFFF"/>
        <w:spacing w:line="450" w:lineRule="atLeas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color w:val="000000"/>
          <w:kern w:val="0"/>
          <w:sz w:val="21"/>
          <w:szCs w:val="21"/>
          <w:bdr w:val="none" w:sz="0" w:space="0" w:color="auto" w:frame="1"/>
        </w:rPr>
        <w:t>（1）本县一级总承包企业年完成建筑业产值5亿元且纳税达到1500万元以上的；</w:t>
      </w:r>
    </w:p>
    <w:p w14:paraId="24C8B9F3" w14:textId="77777777" w:rsidR="00E96E55" w:rsidRPr="00E96E55" w:rsidRDefault="00E96E55" w:rsidP="00E96E55">
      <w:pPr>
        <w:widowControl/>
        <w:shd w:val="clear" w:color="auto" w:fill="FFFFFF"/>
        <w:spacing w:line="450" w:lineRule="atLeas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color w:val="000000"/>
          <w:kern w:val="0"/>
          <w:sz w:val="21"/>
          <w:szCs w:val="21"/>
          <w:bdr w:val="none" w:sz="0" w:space="0" w:color="auto" w:frame="1"/>
        </w:rPr>
        <w:t>（2）本县二级总承包企业年完成建筑业产值3亿元且纳税达到900万元以上的；</w:t>
      </w:r>
    </w:p>
    <w:p w14:paraId="439273B9"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color w:val="000000"/>
          <w:kern w:val="0"/>
          <w:sz w:val="21"/>
          <w:szCs w:val="21"/>
          <w:bdr w:val="none" w:sz="0" w:space="0" w:color="auto" w:frame="1"/>
        </w:rPr>
        <w:t>（3）本县三级总承包或二级以上专业承包企业年完成建筑业产值2亿元且纳税达到600万元以上的。</w:t>
      </w:r>
    </w:p>
    <w:p w14:paraId="646E4EE1"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b/>
          <w:bCs/>
          <w:color w:val="000000"/>
          <w:kern w:val="0"/>
          <w:sz w:val="21"/>
          <w:szCs w:val="21"/>
        </w:rPr>
        <w:t>（三）支持县内的建筑企业承接本地建筑工程</w:t>
      </w:r>
    </w:p>
    <w:p w14:paraId="76D5034C"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县域范围内使用国有资金投资或国有资金控股的建设工程招标，在相关法律、法规允许范围内，给予本县企业政策倾斜。</w:t>
      </w:r>
    </w:p>
    <w:p w14:paraId="64EC7A96"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工程建设项目的勘察、设计、检测、施工、监理以及与工程建设有关的重要设备、材料等的采购，在国家规定的招标范围和规模标准以下的，应当优先选择本县企业以独立或者联合体的身份承接；可以不招标的，应当优先选择本县企业以独立或者联合体的身份作为项目承包人；可以邀请投标的，应当优先邀请本县企业以独立或者联合体的身份参与投标。</w:t>
      </w:r>
    </w:p>
    <w:p w14:paraId="5F27AF9F"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小规模工程项目采用邀请招标的，评标办法按诏委办〔2016〕</w:t>
      </w:r>
      <w:r w:rsidRPr="00E96E55">
        <w:rPr>
          <w:rFonts w:ascii="微软雅黑" w:eastAsia="微软雅黑" w:hAnsi="微软雅黑" w:cs="Times New Roman" w:hint="eastAsia"/>
          <w:color w:val="000000"/>
          <w:kern w:val="0"/>
          <w:sz w:val="21"/>
          <w:szCs w:val="21"/>
          <w:bdr w:val="none" w:sz="0" w:space="0" w:color="auto" w:frame="1"/>
        </w:rPr>
        <w:t>18</w:t>
      </w:r>
      <w:r w:rsidRPr="00E96E55">
        <w:rPr>
          <w:rFonts w:ascii="微软雅黑" w:eastAsia="微软雅黑" w:hAnsi="微软雅黑" w:cs="Times New Roman" w:hint="eastAsia"/>
          <w:color w:val="000000"/>
          <w:kern w:val="0"/>
          <w:sz w:val="21"/>
          <w:szCs w:val="21"/>
        </w:rPr>
        <w:t>号文件有关规定执行，应邀请县内具备招标项目承包能力的所有独立法人资格企业参与项目投标（当县内参与投标企业数量达不到法定要求时，不足部分可以邀请县外企业参与投标）：</w:t>
      </w:r>
    </w:p>
    <w:p w14:paraId="10894C84"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（1）施工：单项合同估算价</w:t>
      </w:r>
      <w:r w:rsidRPr="00E96E55">
        <w:rPr>
          <w:rFonts w:ascii="微软雅黑" w:eastAsia="微软雅黑" w:hAnsi="微软雅黑" w:cs="Times New Roman" w:hint="eastAsia"/>
          <w:color w:val="000000"/>
          <w:kern w:val="0"/>
          <w:sz w:val="21"/>
          <w:szCs w:val="21"/>
          <w:bdr w:val="none" w:sz="0" w:space="0" w:color="auto" w:frame="1"/>
        </w:rPr>
        <w:t>200</w:t>
      </w:r>
      <w:r w:rsidRPr="00E96E55">
        <w:rPr>
          <w:rFonts w:ascii="微软雅黑" w:eastAsia="微软雅黑" w:hAnsi="微软雅黑" w:cs="Times New Roman" w:hint="eastAsia"/>
          <w:color w:val="000000"/>
          <w:kern w:val="0"/>
          <w:sz w:val="21"/>
          <w:szCs w:val="21"/>
        </w:rPr>
        <w:t>万元以下，</w:t>
      </w:r>
      <w:r w:rsidRPr="00E96E55">
        <w:rPr>
          <w:rFonts w:ascii="微软雅黑" w:eastAsia="微软雅黑" w:hAnsi="微软雅黑" w:cs="Times New Roman" w:hint="eastAsia"/>
          <w:color w:val="000000"/>
          <w:kern w:val="0"/>
          <w:sz w:val="21"/>
          <w:szCs w:val="21"/>
          <w:bdr w:val="none" w:sz="0" w:space="0" w:color="auto" w:frame="1"/>
        </w:rPr>
        <w:t>50</w:t>
      </w:r>
      <w:r w:rsidRPr="00E96E55">
        <w:rPr>
          <w:rFonts w:ascii="微软雅黑" w:eastAsia="微软雅黑" w:hAnsi="微软雅黑" w:cs="Times New Roman" w:hint="eastAsia"/>
          <w:color w:val="000000"/>
          <w:kern w:val="0"/>
          <w:sz w:val="21"/>
          <w:szCs w:val="21"/>
        </w:rPr>
        <w:t>万元（含）以上的；</w:t>
      </w:r>
    </w:p>
    <w:p w14:paraId="7E49310D"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（2）装修工程、装饰工程、拆除工程（与建筑物、构筑物新建、改建、扩建无关）：单项合同估算价</w:t>
      </w:r>
      <w:r w:rsidRPr="00E96E55">
        <w:rPr>
          <w:rFonts w:ascii="微软雅黑" w:eastAsia="微软雅黑" w:hAnsi="微软雅黑" w:cs="Times New Roman" w:hint="eastAsia"/>
          <w:color w:val="000000"/>
          <w:kern w:val="0"/>
          <w:sz w:val="21"/>
          <w:szCs w:val="21"/>
          <w:bdr w:val="none" w:sz="0" w:space="0" w:color="auto" w:frame="1"/>
        </w:rPr>
        <w:t>200</w:t>
      </w:r>
      <w:r w:rsidRPr="00E96E55">
        <w:rPr>
          <w:rFonts w:ascii="微软雅黑" w:eastAsia="微软雅黑" w:hAnsi="微软雅黑" w:cs="Times New Roman" w:hint="eastAsia"/>
          <w:color w:val="000000"/>
          <w:kern w:val="0"/>
          <w:sz w:val="21"/>
          <w:szCs w:val="21"/>
        </w:rPr>
        <w:t>万元以下，</w:t>
      </w:r>
      <w:r w:rsidRPr="00E96E55">
        <w:rPr>
          <w:rFonts w:ascii="微软雅黑" w:eastAsia="微软雅黑" w:hAnsi="微软雅黑" w:cs="Times New Roman" w:hint="eastAsia"/>
          <w:color w:val="000000"/>
          <w:kern w:val="0"/>
          <w:sz w:val="21"/>
          <w:szCs w:val="21"/>
          <w:bdr w:val="none" w:sz="0" w:space="0" w:color="auto" w:frame="1"/>
        </w:rPr>
        <w:t>30</w:t>
      </w:r>
      <w:r w:rsidRPr="00E96E55">
        <w:rPr>
          <w:rFonts w:ascii="微软雅黑" w:eastAsia="微软雅黑" w:hAnsi="微软雅黑" w:cs="Times New Roman" w:hint="eastAsia"/>
          <w:color w:val="000000"/>
          <w:kern w:val="0"/>
          <w:sz w:val="21"/>
          <w:szCs w:val="21"/>
        </w:rPr>
        <w:t>万元（含）以上的；</w:t>
      </w:r>
    </w:p>
    <w:p w14:paraId="58EBBC67"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（3）勘察、设计：单项合同估算价</w:t>
      </w:r>
      <w:r w:rsidRPr="00E96E55">
        <w:rPr>
          <w:rFonts w:ascii="微软雅黑" w:eastAsia="微软雅黑" w:hAnsi="微软雅黑" w:cs="Times New Roman" w:hint="eastAsia"/>
          <w:color w:val="000000"/>
          <w:kern w:val="0"/>
          <w:sz w:val="21"/>
          <w:szCs w:val="21"/>
          <w:bdr w:val="none" w:sz="0" w:space="0" w:color="auto" w:frame="1"/>
        </w:rPr>
        <w:t>50</w:t>
      </w:r>
      <w:r w:rsidRPr="00E96E55">
        <w:rPr>
          <w:rFonts w:ascii="微软雅黑" w:eastAsia="微软雅黑" w:hAnsi="微软雅黑" w:cs="Times New Roman" w:hint="eastAsia"/>
          <w:color w:val="000000"/>
          <w:kern w:val="0"/>
          <w:sz w:val="21"/>
          <w:szCs w:val="21"/>
        </w:rPr>
        <w:t>万元以下，</w:t>
      </w:r>
      <w:r w:rsidRPr="00E96E55">
        <w:rPr>
          <w:rFonts w:ascii="微软雅黑" w:eastAsia="微软雅黑" w:hAnsi="微软雅黑" w:cs="Times New Roman" w:hint="eastAsia"/>
          <w:color w:val="000000"/>
          <w:kern w:val="0"/>
          <w:sz w:val="21"/>
          <w:szCs w:val="21"/>
          <w:bdr w:val="none" w:sz="0" w:space="0" w:color="auto" w:frame="1"/>
        </w:rPr>
        <w:t>30</w:t>
      </w:r>
      <w:r w:rsidRPr="00E96E55">
        <w:rPr>
          <w:rFonts w:ascii="微软雅黑" w:eastAsia="微软雅黑" w:hAnsi="微软雅黑" w:cs="Times New Roman" w:hint="eastAsia"/>
          <w:color w:val="000000"/>
          <w:kern w:val="0"/>
          <w:sz w:val="21"/>
          <w:szCs w:val="21"/>
        </w:rPr>
        <w:t>万元（含）以上的；</w:t>
      </w:r>
    </w:p>
    <w:p w14:paraId="66A79ED9"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（4）重要设备、材料：单项合同估算价</w:t>
      </w:r>
      <w:r w:rsidRPr="00E96E55">
        <w:rPr>
          <w:rFonts w:ascii="微软雅黑" w:eastAsia="微软雅黑" w:hAnsi="微软雅黑" w:cs="Times New Roman" w:hint="eastAsia"/>
          <w:color w:val="000000"/>
          <w:kern w:val="0"/>
          <w:sz w:val="21"/>
          <w:szCs w:val="21"/>
          <w:bdr w:val="none" w:sz="0" w:space="0" w:color="auto" w:frame="1"/>
        </w:rPr>
        <w:t>100</w:t>
      </w:r>
      <w:r w:rsidRPr="00E96E55">
        <w:rPr>
          <w:rFonts w:ascii="微软雅黑" w:eastAsia="微软雅黑" w:hAnsi="微软雅黑" w:cs="Times New Roman" w:hint="eastAsia"/>
          <w:color w:val="000000"/>
          <w:kern w:val="0"/>
          <w:sz w:val="21"/>
          <w:szCs w:val="21"/>
        </w:rPr>
        <w:t>万元以下，</w:t>
      </w:r>
      <w:r w:rsidRPr="00E96E55">
        <w:rPr>
          <w:rFonts w:ascii="微软雅黑" w:eastAsia="微软雅黑" w:hAnsi="微软雅黑" w:cs="Times New Roman" w:hint="eastAsia"/>
          <w:color w:val="000000"/>
          <w:kern w:val="0"/>
          <w:sz w:val="21"/>
          <w:szCs w:val="21"/>
          <w:bdr w:val="none" w:sz="0" w:space="0" w:color="auto" w:frame="1"/>
        </w:rPr>
        <w:t>30</w:t>
      </w:r>
      <w:r w:rsidRPr="00E96E55">
        <w:rPr>
          <w:rFonts w:ascii="微软雅黑" w:eastAsia="微软雅黑" w:hAnsi="微软雅黑" w:cs="Times New Roman" w:hint="eastAsia"/>
          <w:color w:val="000000"/>
          <w:kern w:val="0"/>
          <w:sz w:val="21"/>
          <w:szCs w:val="21"/>
        </w:rPr>
        <w:t>万元以上的。</w:t>
      </w:r>
    </w:p>
    <w:p w14:paraId="4785C618"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单项合同估算价低于前款下限标准且在10万元以上的，不进行招标，但应当邀请三家以上（含）我县具备招标项目承包能力的独立法人资格企业，通过比选的方式确定项目承包人；单项合同估算价在</w:t>
      </w:r>
      <w:r w:rsidRPr="00E96E55">
        <w:rPr>
          <w:rFonts w:ascii="微软雅黑" w:eastAsia="微软雅黑" w:hAnsi="微软雅黑" w:cs="Times New Roman" w:hint="eastAsia"/>
          <w:color w:val="000000"/>
          <w:kern w:val="0"/>
          <w:sz w:val="21"/>
          <w:szCs w:val="21"/>
          <w:bdr w:val="none" w:sz="0" w:space="0" w:color="auto" w:frame="1"/>
        </w:rPr>
        <w:t>10</w:t>
      </w:r>
      <w:r w:rsidRPr="00E96E55">
        <w:rPr>
          <w:rFonts w:ascii="微软雅黑" w:eastAsia="微软雅黑" w:hAnsi="微软雅黑" w:cs="Times New Roman" w:hint="eastAsia"/>
          <w:color w:val="000000"/>
          <w:kern w:val="0"/>
          <w:sz w:val="21"/>
          <w:szCs w:val="21"/>
        </w:rPr>
        <w:t>万元以下（含）的，可直接确定本县企业做为承包人。</w:t>
      </w:r>
    </w:p>
    <w:p w14:paraId="720D69B2"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招标文件或比选文件须向本县建设行政主管部门备案。</w:t>
      </w:r>
    </w:p>
    <w:p w14:paraId="079CCFD9"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b/>
          <w:bCs/>
          <w:color w:val="000000"/>
          <w:kern w:val="0"/>
          <w:sz w:val="21"/>
          <w:szCs w:val="21"/>
        </w:rPr>
        <w:t>（四）规范招标投标市场环境</w:t>
      </w:r>
    </w:p>
    <w:p w14:paraId="25DE66D0"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color w:val="000000"/>
          <w:kern w:val="0"/>
          <w:sz w:val="21"/>
          <w:szCs w:val="21"/>
          <w:bdr w:val="none" w:sz="0" w:space="0" w:color="auto" w:frame="1"/>
        </w:rPr>
        <w:t>完善评标办法，对参加投标的建筑业企业、监理企业，项目经理、总监理工程师必须到场参加开标会议；鼓励投标人法定代表人参加开标会议，工程概算亿元以上的项目招标文件应明确投标企业法定代表人必须到场参加开标会议。改进中标候选人推荐办法，鼓励采取推荐1名中标候选人，不再推荐其他中标候选人;今后进一步探索“先评后抽”的评标定标办法，适时推行。具体办法由县城建局牵头，发改局和行政服务中心管委会制定。</w:t>
      </w:r>
    </w:p>
    <w:p w14:paraId="601B0F21"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b/>
          <w:bCs/>
          <w:color w:val="000000"/>
          <w:kern w:val="0"/>
          <w:sz w:val="21"/>
          <w:szCs w:val="21"/>
        </w:rPr>
        <w:t>（五）加强人才队伍建设</w:t>
      </w:r>
    </w:p>
    <w:p w14:paraId="09204F77"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建筑业企业技术人员专业技术职务的评审在满足一定条件时给予破格报审。具体执行《漳州市人民政府关于进一步促进建筑业加快发展的补充意见》（漳政综〔2016〕</w:t>
      </w:r>
      <w:r w:rsidRPr="00E96E55">
        <w:rPr>
          <w:rFonts w:ascii="微软雅黑" w:eastAsia="微软雅黑" w:hAnsi="微软雅黑" w:cs="Times New Roman" w:hint="eastAsia"/>
          <w:color w:val="000000"/>
          <w:kern w:val="0"/>
          <w:sz w:val="21"/>
          <w:szCs w:val="21"/>
          <w:bdr w:val="none" w:sz="0" w:space="0" w:color="auto" w:frame="1"/>
        </w:rPr>
        <w:t>142</w:t>
      </w:r>
      <w:r w:rsidRPr="00E96E55">
        <w:rPr>
          <w:rFonts w:ascii="微软雅黑" w:eastAsia="微软雅黑" w:hAnsi="微软雅黑" w:cs="Times New Roman" w:hint="eastAsia"/>
          <w:color w:val="000000"/>
          <w:kern w:val="0"/>
          <w:sz w:val="21"/>
          <w:szCs w:val="21"/>
        </w:rPr>
        <w:t>号）。</w:t>
      </w:r>
    </w:p>
    <w:p w14:paraId="37953FFA"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企业发生的职工教育经费支出可按规定在计算企业所得税时予以扣除。具体执行《漳州市人民政府关于进一步促进建筑业加快发展的补充意见》（漳政综〔2016〕</w:t>
      </w:r>
      <w:r w:rsidRPr="00E96E55">
        <w:rPr>
          <w:rFonts w:ascii="微软雅黑" w:eastAsia="微软雅黑" w:hAnsi="微软雅黑" w:cs="Times New Roman" w:hint="eastAsia"/>
          <w:color w:val="000000"/>
          <w:kern w:val="0"/>
          <w:sz w:val="21"/>
          <w:szCs w:val="21"/>
          <w:bdr w:val="none" w:sz="0" w:space="0" w:color="auto" w:frame="1"/>
        </w:rPr>
        <w:t>142</w:t>
      </w:r>
      <w:r w:rsidRPr="00E96E55">
        <w:rPr>
          <w:rFonts w:ascii="微软雅黑" w:eastAsia="微软雅黑" w:hAnsi="微软雅黑" w:cs="Times New Roman" w:hint="eastAsia"/>
          <w:color w:val="000000"/>
          <w:kern w:val="0"/>
          <w:sz w:val="21"/>
          <w:szCs w:val="21"/>
        </w:rPr>
        <w:t>号）。</w:t>
      </w:r>
    </w:p>
    <w:p w14:paraId="73C4390D"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b/>
          <w:bCs/>
          <w:color w:val="000000"/>
          <w:kern w:val="0"/>
          <w:sz w:val="21"/>
          <w:szCs w:val="21"/>
        </w:rPr>
        <w:t>（六）加大奖优罚劣力度，创造更多优质工程</w:t>
      </w:r>
    </w:p>
    <w:p w14:paraId="49CDA2C1"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加强对创优企业的宣传和鼓励。本县施工企业承建本县工程，获得“闽江杯”优质工程（含同级别优质工程）的，由县财政给予奖励30万元；获得“水仙杯”优质工程（含同级别优质工程）的，由县财政给予一次性奖励</w:t>
      </w:r>
      <w:r w:rsidRPr="00E96E55">
        <w:rPr>
          <w:rFonts w:ascii="微软雅黑" w:eastAsia="微软雅黑" w:hAnsi="微软雅黑" w:cs="Times New Roman" w:hint="eastAsia"/>
          <w:color w:val="000000"/>
          <w:kern w:val="0"/>
          <w:sz w:val="21"/>
          <w:szCs w:val="21"/>
          <w:bdr w:val="none" w:sz="0" w:space="0" w:color="auto" w:frame="1"/>
        </w:rPr>
        <w:t>10</w:t>
      </w:r>
      <w:r w:rsidRPr="00E96E55">
        <w:rPr>
          <w:rFonts w:ascii="微软雅黑" w:eastAsia="微软雅黑" w:hAnsi="微软雅黑" w:cs="Times New Roman" w:hint="eastAsia"/>
          <w:color w:val="000000"/>
          <w:kern w:val="0"/>
          <w:sz w:val="21"/>
          <w:szCs w:val="21"/>
        </w:rPr>
        <w:t>万元；并在新闻媒体上宣传褒奖，树立创优企业良好社会形象。对同一项目获得多项奖项的，按最高项给予奖励，不重复奖励。本县企业在县外承接的工程项目荣获奖项（杯）的，同等享受本县相应奖项的优惠待遇。</w:t>
      </w:r>
    </w:p>
    <w:p w14:paraId="70E9A9D7"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进一步鼓励企业制定创优的措施，激发企业创优热情和动力，树立企业品牌、提升企业品位，创造更多优质工程。鼓励重点建设工程、大型公共建筑、保障性安居工程、城市综合体和大中型住宅小区争创优质工程。</w:t>
      </w:r>
    </w:p>
    <w:p w14:paraId="4F25943E"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b/>
          <w:bCs/>
          <w:color w:val="000000"/>
          <w:kern w:val="0"/>
          <w:sz w:val="21"/>
          <w:szCs w:val="21"/>
        </w:rPr>
        <w:t>（七）加强对本县建筑企业的资金扶持</w:t>
      </w:r>
    </w:p>
    <w:p w14:paraId="6FB4E12B"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全面实行本地建筑企业以银行保函、保证保险和担保保函的形式提交履约保证金、质量保修金，建设单位不得以任何理由要求本县施工企业提交现金。对拒不结算工程款或拖欠工程款的建设单位，列入不诚信单位给予曝光，并对其新项目开工建设实行限批、禁批。鼓励银企合作，进一步拓宽建筑企业的融资渠道，为建筑业提供宽松的资金环境。县金融部门应对具备竞争力、信誉好、业绩优良的骨干企业加大资金信贷支持力度，积极帮助企业解决信贷授信额度或优惠贷款利率，及时为企业出具资信证明和工程保函，以支持企业拓展市场，做大做强。</w:t>
      </w:r>
    </w:p>
    <w:p w14:paraId="092F15E0"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规范农民工工资保证金制度。农民工工资保证金采取差异化的缴存办法，近三年内无恶意拖欠工资行为的本地企业不需缴纳农民工工资保证金。</w:t>
      </w:r>
    </w:p>
    <w:p w14:paraId="6E66F189"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color w:val="000000"/>
          <w:kern w:val="0"/>
          <w:sz w:val="21"/>
          <w:szCs w:val="21"/>
          <w:bdr w:val="none" w:sz="0" w:space="0" w:color="auto" w:frame="1"/>
        </w:rPr>
        <w:t>四、有关要求</w:t>
      </w:r>
    </w:p>
    <w:p w14:paraId="7E4D19B0"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（一）交通、水利、环保、土地整治、移民等工程项目建设均参照本实施意见，使用集体资金也参照本实施意见。</w:t>
      </w:r>
    </w:p>
    <w:p w14:paraId="6EDF7E21"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（二）对按本实施意见享受奖励的企业，五年内拟迁离本县的，应缴回按本意见所享受的全部奖励资金、补助及相关的利息，相关部门才给予办理外迁手续。</w:t>
      </w:r>
    </w:p>
    <w:p w14:paraId="0EF6A84F"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w:t>
      </w:r>
      <w:r w:rsidRPr="00E96E55">
        <w:rPr>
          <w:rFonts w:ascii="微软雅黑" w:eastAsia="微软雅黑" w:hAnsi="微软雅黑" w:cs="Times New Roman" w:hint="eastAsia"/>
          <w:color w:val="000000"/>
          <w:kern w:val="0"/>
          <w:sz w:val="21"/>
          <w:szCs w:val="21"/>
          <w:bdr w:val="none" w:sz="0" w:space="0" w:color="auto" w:frame="1"/>
        </w:rPr>
        <w:t>五、其他事项</w:t>
      </w:r>
    </w:p>
    <w:p w14:paraId="27A39CF7"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（一）本实施意见涉及的各项奖励补助资金，按照受益承担原则由同级财政负担。</w:t>
      </w:r>
    </w:p>
    <w:p w14:paraId="4AC98765"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（二）本实施意见自发布之日起实施，有效期五年。有效期届满或者有关法律政策依据变化，将根据实施情况予以评估修订。</w:t>
      </w:r>
    </w:p>
    <w:p w14:paraId="305C1B76"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（三）本实施意见由县城乡规划建设局负责解释。</w:t>
      </w:r>
    </w:p>
    <w:p w14:paraId="58965BAD"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bdr w:val="none" w:sz="0" w:space="0" w:color="auto" w:frame="1"/>
        </w:rPr>
        <w:t> </w:t>
      </w:r>
    </w:p>
    <w:p w14:paraId="1B47E593"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bdr w:val="none" w:sz="0" w:space="0" w:color="auto" w:frame="1"/>
        </w:rPr>
        <w:t> </w:t>
      </w:r>
    </w:p>
    <w:p w14:paraId="303EF732"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bdr w:val="none" w:sz="0" w:space="0" w:color="auto" w:frame="1"/>
        </w:rPr>
        <w:t> </w:t>
      </w:r>
    </w:p>
    <w:p w14:paraId="7A9DF4E1" w14:textId="77777777" w:rsidR="00E96E55" w:rsidRPr="00E96E55" w:rsidRDefault="00E96E55" w:rsidP="00E96E55">
      <w:pPr>
        <w:widowControl/>
        <w:shd w:val="clear" w:color="auto" w:fill="FFFFFF"/>
        <w:spacing w:line="450" w:lineRule="atLeast"/>
        <w:jc w:val="righ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诏安县人民政府</w:t>
      </w:r>
    </w:p>
    <w:p w14:paraId="18C85307" w14:textId="77777777" w:rsidR="00E96E55" w:rsidRPr="00E96E55" w:rsidRDefault="00E96E55" w:rsidP="00E96E55">
      <w:pPr>
        <w:widowControl/>
        <w:shd w:val="clear" w:color="auto" w:fill="FFFFFF"/>
        <w:spacing w:line="450" w:lineRule="atLeast"/>
        <w:jc w:val="righ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bdr w:val="none" w:sz="0" w:space="0" w:color="auto" w:frame="1"/>
        </w:rPr>
        <w:t>2017</w:t>
      </w:r>
      <w:r w:rsidRPr="00E96E55">
        <w:rPr>
          <w:rFonts w:ascii="微软雅黑" w:eastAsia="微软雅黑" w:hAnsi="微软雅黑" w:cs="Times New Roman" w:hint="eastAsia"/>
          <w:color w:val="000000"/>
          <w:kern w:val="0"/>
          <w:sz w:val="21"/>
          <w:szCs w:val="21"/>
        </w:rPr>
        <w:t>年11月</w:t>
      </w:r>
      <w:r w:rsidRPr="00E96E55">
        <w:rPr>
          <w:rFonts w:ascii="微软雅黑" w:eastAsia="微软雅黑" w:hAnsi="微软雅黑" w:cs="Times New Roman" w:hint="eastAsia"/>
          <w:color w:val="000000"/>
          <w:kern w:val="0"/>
          <w:sz w:val="21"/>
          <w:szCs w:val="21"/>
          <w:bdr w:val="none" w:sz="0" w:space="0" w:color="auto" w:frame="1"/>
        </w:rPr>
        <w:t>22</w:t>
      </w:r>
      <w:r w:rsidRPr="00E96E55">
        <w:rPr>
          <w:rFonts w:ascii="微软雅黑" w:eastAsia="微软雅黑" w:hAnsi="微软雅黑" w:cs="Times New Roman" w:hint="eastAsia"/>
          <w:color w:val="000000"/>
          <w:kern w:val="0"/>
          <w:sz w:val="21"/>
          <w:szCs w:val="21"/>
        </w:rPr>
        <w:t>日</w:t>
      </w:r>
    </w:p>
    <w:p w14:paraId="5825ED9C" w14:textId="77777777" w:rsidR="00E96E55" w:rsidRPr="00E96E55" w:rsidRDefault="00E96E55" w:rsidP="00E96E55">
      <w:pPr>
        <w:widowControl/>
        <w:shd w:val="clear" w:color="auto" w:fill="FFFFFF"/>
        <w:spacing w:line="450" w:lineRule="atLeast"/>
        <w:jc w:val="righ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bdr w:val="none" w:sz="0" w:space="0" w:color="auto" w:frame="1"/>
        </w:rPr>
        <w:t> </w:t>
      </w:r>
    </w:p>
    <w:p w14:paraId="4219711C" w14:textId="77777777" w:rsidR="00E96E55" w:rsidRPr="00E96E55" w:rsidRDefault="00E96E55" w:rsidP="00E96E55">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E96E55">
        <w:rPr>
          <w:rFonts w:ascii="微软雅黑" w:eastAsia="微软雅黑" w:hAnsi="微软雅黑" w:cs="Times New Roman" w:hint="eastAsia"/>
          <w:color w:val="000000"/>
          <w:kern w:val="0"/>
          <w:sz w:val="21"/>
          <w:szCs w:val="21"/>
        </w:rPr>
        <w:t xml:space="preserve">　　　（此件主动公开）</w:t>
      </w:r>
    </w:p>
    <w:p w14:paraId="6515072D" w14:textId="77777777" w:rsidR="00B87A50" w:rsidRPr="00E96E55" w:rsidRDefault="00B87A50">
      <w:bookmarkStart w:id="0" w:name="_GoBack"/>
      <w:bookmarkEnd w:id="0"/>
    </w:p>
    <w:sectPr w:rsidR="00B87A50" w:rsidRPr="00E96E55"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55"/>
    <w:rsid w:val="00730566"/>
    <w:rsid w:val="00B87A50"/>
    <w:rsid w:val="00D60026"/>
    <w:rsid w:val="00E96E5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C67AE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92632">
      <w:bodyDiv w:val="1"/>
      <w:marLeft w:val="0"/>
      <w:marRight w:val="0"/>
      <w:marTop w:val="0"/>
      <w:marBottom w:val="0"/>
      <w:divBdr>
        <w:top w:val="none" w:sz="0" w:space="0" w:color="auto"/>
        <w:left w:val="none" w:sz="0" w:space="0" w:color="auto"/>
        <w:bottom w:val="none" w:sz="0" w:space="0" w:color="auto"/>
        <w:right w:val="none" w:sz="0" w:space="0" w:color="auto"/>
      </w:divBdr>
      <w:divsChild>
        <w:div w:id="1016079116">
          <w:marLeft w:val="750"/>
          <w:marRight w:val="750"/>
          <w:marTop w:val="645"/>
          <w:marBottom w:val="30"/>
          <w:divBdr>
            <w:top w:val="none" w:sz="0" w:space="0" w:color="auto"/>
            <w:left w:val="none" w:sz="0" w:space="0" w:color="auto"/>
            <w:bottom w:val="none" w:sz="0" w:space="0" w:color="auto"/>
            <w:right w:val="none" w:sz="0" w:space="0" w:color="auto"/>
          </w:divBdr>
          <w:divsChild>
            <w:div w:id="840631411">
              <w:marLeft w:val="0"/>
              <w:marRight w:val="0"/>
              <w:marTop w:val="0"/>
              <w:marBottom w:val="195"/>
              <w:divBdr>
                <w:top w:val="none" w:sz="0" w:space="0" w:color="auto"/>
                <w:left w:val="none" w:sz="0" w:space="0" w:color="auto"/>
                <w:bottom w:val="none" w:sz="0" w:space="0" w:color="auto"/>
                <w:right w:val="none" w:sz="0" w:space="0" w:color="auto"/>
              </w:divBdr>
            </w:div>
          </w:divsChild>
        </w:div>
        <w:div w:id="5838730">
          <w:marLeft w:val="0"/>
          <w:marRight w:val="0"/>
          <w:marTop w:val="0"/>
          <w:marBottom w:val="0"/>
          <w:divBdr>
            <w:top w:val="none" w:sz="0" w:space="0" w:color="auto"/>
            <w:left w:val="none" w:sz="0" w:space="0" w:color="auto"/>
            <w:bottom w:val="none" w:sz="0" w:space="0" w:color="auto"/>
            <w:right w:val="none" w:sz="0" w:space="0" w:color="auto"/>
          </w:divBdr>
          <w:divsChild>
            <w:div w:id="373384150">
              <w:marLeft w:val="0"/>
              <w:marRight w:val="0"/>
              <w:marTop w:val="0"/>
              <w:marBottom w:val="0"/>
              <w:divBdr>
                <w:top w:val="none" w:sz="0" w:space="0" w:color="auto"/>
                <w:left w:val="none" w:sz="0" w:space="0" w:color="auto"/>
                <w:bottom w:val="none" w:sz="0" w:space="0" w:color="auto"/>
                <w:right w:val="none" w:sz="0" w:space="0" w:color="auto"/>
              </w:divBdr>
            </w:div>
            <w:div w:id="776483236">
              <w:marLeft w:val="0"/>
              <w:marRight w:val="0"/>
              <w:marTop w:val="0"/>
              <w:marBottom w:val="0"/>
              <w:divBdr>
                <w:top w:val="none" w:sz="0" w:space="0" w:color="auto"/>
                <w:left w:val="none" w:sz="0" w:space="0" w:color="auto"/>
                <w:bottom w:val="none" w:sz="0" w:space="0" w:color="auto"/>
                <w:right w:val="none" w:sz="0" w:space="0" w:color="auto"/>
              </w:divBdr>
            </w:div>
            <w:div w:id="1708024485">
              <w:marLeft w:val="0"/>
              <w:marRight w:val="0"/>
              <w:marTop w:val="0"/>
              <w:marBottom w:val="0"/>
              <w:divBdr>
                <w:top w:val="none" w:sz="0" w:space="0" w:color="auto"/>
                <w:left w:val="none" w:sz="0" w:space="0" w:color="auto"/>
                <w:bottom w:val="none" w:sz="0" w:space="0" w:color="auto"/>
                <w:right w:val="none" w:sz="0" w:space="0" w:color="auto"/>
              </w:divBdr>
            </w:div>
            <w:div w:id="1936133428">
              <w:marLeft w:val="0"/>
              <w:marRight w:val="0"/>
              <w:marTop w:val="0"/>
              <w:marBottom w:val="0"/>
              <w:divBdr>
                <w:top w:val="none" w:sz="0" w:space="0" w:color="auto"/>
                <w:left w:val="none" w:sz="0" w:space="0" w:color="auto"/>
                <w:bottom w:val="none" w:sz="0" w:space="0" w:color="auto"/>
                <w:right w:val="none" w:sz="0" w:space="0" w:color="auto"/>
              </w:divBdr>
            </w:div>
            <w:div w:id="455832363">
              <w:marLeft w:val="0"/>
              <w:marRight w:val="0"/>
              <w:marTop w:val="0"/>
              <w:marBottom w:val="0"/>
              <w:divBdr>
                <w:top w:val="none" w:sz="0" w:space="0" w:color="auto"/>
                <w:left w:val="none" w:sz="0" w:space="0" w:color="auto"/>
                <w:bottom w:val="none" w:sz="0" w:space="0" w:color="auto"/>
                <w:right w:val="none" w:sz="0" w:space="0" w:color="auto"/>
              </w:divBdr>
            </w:div>
            <w:div w:id="1479152878">
              <w:marLeft w:val="0"/>
              <w:marRight w:val="0"/>
              <w:marTop w:val="0"/>
              <w:marBottom w:val="0"/>
              <w:divBdr>
                <w:top w:val="none" w:sz="0" w:space="0" w:color="auto"/>
                <w:left w:val="none" w:sz="0" w:space="0" w:color="auto"/>
                <w:bottom w:val="none" w:sz="0" w:space="0" w:color="auto"/>
                <w:right w:val="none" w:sz="0" w:space="0" w:color="auto"/>
              </w:divBdr>
            </w:div>
            <w:div w:id="1831486512">
              <w:marLeft w:val="0"/>
              <w:marRight w:val="0"/>
              <w:marTop w:val="0"/>
              <w:marBottom w:val="0"/>
              <w:divBdr>
                <w:top w:val="none" w:sz="0" w:space="0" w:color="auto"/>
                <w:left w:val="none" w:sz="0" w:space="0" w:color="auto"/>
                <w:bottom w:val="none" w:sz="0" w:space="0" w:color="auto"/>
                <w:right w:val="none" w:sz="0" w:space="0" w:color="auto"/>
              </w:divBdr>
            </w:div>
            <w:div w:id="128547825">
              <w:marLeft w:val="0"/>
              <w:marRight w:val="0"/>
              <w:marTop w:val="0"/>
              <w:marBottom w:val="0"/>
              <w:divBdr>
                <w:top w:val="none" w:sz="0" w:space="0" w:color="auto"/>
                <w:left w:val="none" w:sz="0" w:space="0" w:color="auto"/>
                <w:bottom w:val="none" w:sz="0" w:space="0" w:color="auto"/>
                <w:right w:val="none" w:sz="0" w:space="0" w:color="auto"/>
              </w:divBdr>
            </w:div>
            <w:div w:id="1946037403">
              <w:marLeft w:val="0"/>
              <w:marRight w:val="0"/>
              <w:marTop w:val="0"/>
              <w:marBottom w:val="0"/>
              <w:divBdr>
                <w:top w:val="none" w:sz="0" w:space="0" w:color="auto"/>
                <w:left w:val="none" w:sz="0" w:space="0" w:color="auto"/>
                <w:bottom w:val="none" w:sz="0" w:space="0" w:color="auto"/>
                <w:right w:val="none" w:sz="0" w:space="0" w:color="auto"/>
              </w:divBdr>
            </w:div>
            <w:div w:id="1129325728">
              <w:marLeft w:val="0"/>
              <w:marRight w:val="0"/>
              <w:marTop w:val="0"/>
              <w:marBottom w:val="0"/>
              <w:divBdr>
                <w:top w:val="none" w:sz="0" w:space="0" w:color="auto"/>
                <w:left w:val="none" w:sz="0" w:space="0" w:color="auto"/>
                <w:bottom w:val="none" w:sz="0" w:space="0" w:color="auto"/>
                <w:right w:val="none" w:sz="0" w:space="0" w:color="auto"/>
              </w:divBdr>
            </w:div>
            <w:div w:id="294719922">
              <w:marLeft w:val="0"/>
              <w:marRight w:val="0"/>
              <w:marTop w:val="0"/>
              <w:marBottom w:val="0"/>
              <w:divBdr>
                <w:top w:val="none" w:sz="0" w:space="0" w:color="auto"/>
                <w:left w:val="none" w:sz="0" w:space="0" w:color="auto"/>
                <w:bottom w:val="none" w:sz="0" w:space="0" w:color="auto"/>
                <w:right w:val="none" w:sz="0" w:space="0" w:color="auto"/>
              </w:divBdr>
            </w:div>
            <w:div w:id="2025741736">
              <w:marLeft w:val="0"/>
              <w:marRight w:val="0"/>
              <w:marTop w:val="0"/>
              <w:marBottom w:val="0"/>
              <w:divBdr>
                <w:top w:val="none" w:sz="0" w:space="0" w:color="auto"/>
                <w:left w:val="none" w:sz="0" w:space="0" w:color="auto"/>
                <w:bottom w:val="none" w:sz="0" w:space="0" w:color="auto"/>
                <w:right w:val="none" w:sz="0" w:space="0" w:color="auto"/>
              </w:divBdr>
            </w:div>
            <w:div w:id="209997257">
              <w:marLeft w:val="0"/>
              <w:marRight w:val="0"/>
              <w:marTop w:val="0"/>
              <w:marBottom w:val="0"/>
              <w:divBdr>
                <w:top w:val="none" w:sz="0" w:space="0" w:color="auto"/>
                <w:left w:val="none" w:sz="0" w:space="0" w:color="auto"/>
                <w:bottom w:val="none" w:sz="0" w:space="0" w:color="auto"/>
                <w:right w:val="none" w:sz="0" w:space="0" w:color="auto"/>
              </w:divBdr>
            </w:div>
            <w:div w:id="944507373">
              <w:marLeft w:val="0"/>
              <w:marRight w:val="0"/>
              <w:marTop w:val="0"/>
              <w:marBottom w:val="0"/>
              <w:divBdr>
                <w:top w:val="none" w:sz="0" w:space="0" w:color="auto"/>
                <w:left w:val="none" w:sz="0" w:space="0" w:color="auto"/>
                <w:bottom w:val="none" w:sz="0" w:space="0" w:color="auto"/>
                <w:right w:val="none" w:sz="0" w:space="0" w:color="auto"/>
              </w:divBdr>
            </w:div>
            <w:div w:id="1149054692">
              <w:marLeft w:val="0"/>
              <w:marRight w:val="0"/>
              <w:marTop w:val="0"/>
              <w:marBottom w:val="0"/>
              <w:divBdr>
                <w:top w:val="none" w:sz="0" w:space="0" w:color="auto"/>
                <w:left w:val="none" w:sz="0" w:space="0" w:color="auto"/>
                <w:bottom w:val="none" w:sz="0" w:space="0" w:color="auto"/>
                <w:right w:val="none" w:sz="0" w:space="0" w:color="auto"/>
              </w:divBdr>
            </w:div>
            <w:div w:id="37628882">
              <w:marLeft w:val="0"/>
              <w:marRight w:val="0"/>
              <w:marTop w:val="0"/>
              <w:marBottom w:val="0"/>
              <w:divBdr>
                <w:top w:val="none" w:sz="0" w:space="0" w:color="auto"/>
                <w:left w:val="none" w:sz="0" w:space="0" w:color="auto"/>
                <w:bottom w:val="none" w:sz="0" w:space="0" w:color="auto"/>
                <w:right w:val="none" w:sz="0" w:space="0" w:color="auto"/>
              </w:divBdr>
            </w:div>
            <w:div w:id="951086619">
              <w:marLeft w:val="0"/>
              <w:marRight w:val="0"/>
              <w:marTop w:val="0"/>
              <w:marBottom w:val="0"/>
              <w:divBdr>
                <w:top w:val="none" w:sz="0" w:space="0" w:color="auto"/>
                <w:left w:val="none" w:sz="0" w:space="0" w:color="auto"/>
                <w:bottom w:val="none" w:sz="0" w:space="0" w:color="auto"/>
                <w:right w:val="none" w:sz="0" w:space="0" w:color="auto"/>
              </w:divBdr>
            </w:div>
            <w:div w:id="638806967">
              <w:marLeft w:val="0"/>
              <w:marRight w:val="0"/>
              <w:marTop w:val="0"/>
              <w:marBottom w:val="0"/>
              <w:divBdr>
                <w:top w:val="none" w:sz="0" w:space="0" w:color="auto"/>
                <w:left w:val="none" w:sz="0" w:space="0" w:color="auto"/>
                <w:bottom w:val="none" w:sz="0" w:space="0" w:color="auto"/>
                <w:right w:val="none" w:sz="0" w:space="0" w:color="auto"/>
              </w:divBdr>
            </w:div>
            <w:div w:id="2032877897">
              <w:marLeft w:val="0"/>
              <w:marRight w:val="0"/>
              <w:marTop w:val="0"/>
              <w:marBottom w:val="0"/>
              <w:divBdr>
                <w:top w:val="none" w:sz="0" w:space="0" w:color="auto"/>
                <w:left w:val="none" w:sz="0" w:space="0" w:color="auto"/>
                <w:bottom w:val="none" w:sz="0" w:space="0" w:color="auto"/>
                <w:right w:val="none" w:sz="0" w:space="0" w:color="auto"/>
              </w:divBdr>
            </w:div>
            <w:div w:id="778985676">
              <w:marLeft w:val="0"/>
              <w:marRight w:val="0"/>
              <w:marTop w:val="0"/>
              <w:marBottom w:val="0"/>
              <w:divBdr>
                <w:top w:val="none" w:sz="0" w:space="0" w:color="auto"/>
                <w:left w:val="none" w:sz="0" w:space="0" w:color="auto"/>
                <w:bottom w:val="none" w:sz="0" w:space="0" w:color="auto"/>
                <w:right w:val="none" w:sz="0" w:space="0" w:color="auto"/>
              </w:divBdr>
            </w:div>
            <w:div w:id="368644922">
              <w:marLeft w:val="0"/>
              <w:marRight w:val="0"/>
              <w:marTop w:val="0"/>
              <w:marBottom w:val="0"/>
              <w:divBdr>
                <w:top w:val="none" w:sz="0" w:space="0" w:color="auto"/>
                <w:left w:val="none" w:sz="0" w:space="0" w:color="auto"/>
                <w:bottom w:val="none" w:sz="0" w:space="0" w:color="auto"/>
                <w:right w:val="none" w:sz="0" w:space="0" w:color="auto"/>
              </w:divBdr>
            </w:div>
            <w:div w:id="674311034">
              <w:marLeft w:val="0"/>
              <w:marRight w:val="0"/>
              <w:marTop w:val="0"/>
              <w:marBottom w:val="0"/>
              <w:divBdr>
                <w:top w:val="none" w:sz="0" w:space="0" w:color="auto"/>
                <w:left w:val="none" w:sz="0" w:space="0" w:color="auto"/>
                <w:bottom w:val="none" w:sz="0" w:space="0" w:color="auto"/>
                <w:right w:val="none" w:sz="0" w:space="0" w:color="auto"/>
              </w:divBdr>
            </w:div>
            <w:div w:id="2032800615">
              <w:marLeft w:val="0"/>
              <w:marRight w:val="0"/>
              <w:marTop w:val="0"/>
              <w:marBottom w:val="0"/>
              <w:divBdr>
                <w:top w:val="none" w:sz="0" w:space="0" w:color="auto"/>
                <w:left w:val="none" w:sz="0" w:space="0" w:color="auto"/>
                <w:bottom w:val="none" w:sz="0" w:space="0" w:color="auto"/>
                <w:right w:val="none" w:sz="0" w:space="0" w:color="auto"/>
              </w:divBdr>
            </w:div>
            <w:div w:id="1910117275">
              <w:marLeft w:val="0"/>
              <w:marRight w:val="0"/>
              <w:marTop w:val="0"/>
              <w:marBottom w:val="0"/>
              <w:divBdr>
                <w:top w:val="none" w:sz="0" w:space="0" w:color="auto"/>
                <w:left w:val="none" w:sz="0" w:space="0" w:color="auto"/>
                <w:bottom w:val="none" w:sz="0" w:space="0" w:color="auto"/>
                <w:right w:val="none" w:sz="0" w:space="0" w:color="auto"/>
              </w:divBdr>
            </w:div>
            <w:div w:id="1057512421">
              <w:marLeft w:val="0"/>
              <w:marRight w:val="0"/>
              <w:marTop w:val="0"/>
              <w:marBottom w:val="0"/>
              <w:divBdr>
                <w:top w:val="none" w:sz="0" w:space="0" w:color="auto"/>
                <w:left w:val="none" w:sz="0" w:space="0" w:color="auto"/>
                <w:bottom w:val="none" w:sz="0" w:space="0" w:color="auto"/>
                <w:right w:val="none" w:sz="0" w:space="0" w:color="auto"/>
              </w:divBdr>
            </w:div>
            <w:div w:id="2132094337">
              <w:marLeft w:val="0"/>
              <w:marRight w:val="0"/>
              <w:marTop w:val="0"/>
              <w:marBottom w:val="0"/>
              <w:divBdr>
                <w:top w:val="none" w:sz="0" w:space="0" w:color="auto"/>
                <w:left w:val="none" w:sz="0" w:space="0" w:color="auto"/>
                <w:bottom w:val="none" w:sz="0" w:space="0" w:color="auto"/>
                <w:right w:val="none" w:sz="0" w:space="0" w:color="auto"/>
              </w:divBdr>
            </w:div>
            <w:div w:id="829515952">
              <w:marLeft w:val="0"/>
              <w:marRight w:val="0"/>
              <w:marTop w:val="0"/>
              <w:marBottom w:val="0"/>
              <w:divBdr>
                <w:top w:val="none" w:sz="0" w:space="0" w:color="auto"/>
                <w:left w:val="none" w:sz="0" w:space="0" w:color="auto"/>
                <w:bottom w:val="none" w:sz="0" w:space="0" w:color="auto"/>
                <w:right w:val="none" w:sz="0" w:space="0" w:color="auto"/>
              </w:divBdr>
            </w:div>
            <w:div w:id="1012873922">
              <w:marLeft w:val="0"/>
              <w:marRight w:val="0"/>
              <w:marTop w:val="0"/>
              <w:marBottom w:val="0"/>
              <w:divBdr>
                <w:top w:val="none" w:sz="0" w:space="0" w:color="auto"/>
                <w:left w:val="none" w:sz="0" w:space="0" w:color="auto"/>
                <w:bottom w:val="none" w:sz="0" w:space="0" w:color="auto"/>
                <w:right w:val="none" w:sz="0" w:space="0" w:color="auto"/>
              </w:divBdr>
            </w:div>
            <w:div w:id="843980914">
              <w:marLeft w:val="0"/>
              <w:marRight w:val="0"/>
              <w:marTop w:val="0"/>
              <w:marBottom w:val="0"/>
              <w:divBdr>
                <w:top w:val="none" w:sz="0" w:space="0" w:color="auto"/>
                <w:left w:val="none" w:sz="0" w:space="0" w:color="auto"/>
                <w:bottom w:val="none" w:sz="0" w:space="0" w:color="auto"/>
                <w:right w:val="none" w:sz="0" w:space="0" w:color="auto"/>
              </w:divBdr>
            </w:div>
            <w:div w:id="1459182418">
              <w:marLeft w:val="0"/>
              <w:marRight w:val="0"/>
              <w:marTop w:val="0"/>
              <w:marBottom w:val="0"/>
              <w:divBdr>
                <w:top w:val="none" w:sz="0" w:space="0" w:color="auto"/>
                <w:left w:val="none" w:sz="0" w:space="0" w:color="auto"/>
                <w:bottom w:val="none" w:sz="0" w:space="0" w:color="auto"/>
                <w:right w:val="none" w:sz="0" w:space="0" w:color="auto"/>
              </w:divBdr>
            </w:div>
            <w:div w:id="190807637">
              <w:marLeft w:val="0"/>
              <w:marRight w:val="0"/>
              <w:marTop w:val="0"/>
              <w:marBottom w:val="0"/>
              <w:divBdr>
                <w:top w:val="none" w:sz="0" w:space="0" w:color="auto"/>
                <w:left w:val="none" w:sz="0" w:space="0" w:color="auto"/>
                <w:bottom w:val="none" w:sz="0" w:space="0" w:color="auto"/>
                <w:right w:val="none" w:sz="0" w:space="0" w:color="auto"/>
              </w:divBdr>
            </w:div>
            <w:div w:id="1099177438">
              <w:marLeft w:val="0"/>
              <w:marRight w:val="0"/>
              <w:marTop w:val="0"/>
              <w:marBottom w:val="0"/>
              <w:divBdr>
                <w:top w:val="none" w:sz="0" w:space="0" w:color="auto"/>
                <w:left w:val="none" w:sz="0" w:space="0" w:color="auto"/>
                <w:bottom w:val="none" w:sz="0" w:space="0" w:color="auto"/>
                <w:right w:val="none" w:sz="0" w:space="0" w:color="auto"/>
              </w:divBdr>
            </w:div>
            <w:div w:id="1564876926">
              <w:marLeft w:val="0"/>
              <w:marRight w:val="0"/>
              <w:marTop w:val="0"/>
              <w:marBottom w:val="0"/>
              <w:divBdr>
                <w:top w:val="none" w:sz="0" w:space="0" w:color="auto"/>
                <w:left w:val="none" w:sz="0" w:space="0" w:color="auto"/>
                <w:bottom w:val="none" w:sz="0" w:space="0" w:color="auto"/>
                <w:right w:val="none" w:sz="0" w:space="0" w:color="auto"/>
              </w:divBdr>
            </w:div>
            <w:div w:id="283582645">
              <w:marLeft w:val="0"/>
              <w:marRight w:val="0"/>
              <w:marTop w:val="0"/>
              <w:marBottom w:val="0"/>
              <w:divBdr>
                <w:top w:val="none" w:sz="0" w:space="0" w:color="auto"/>
                <w:left w:val="none" w:sz="0" w:space="0" w:color="auto"/>
                <w:bottom w:val="none" w:sz="0" w:space="0" w:color="auto"/>
                <w:right w:val="none" w:sz="0" w:space="0" w:color="auto"/>
              </w:divBdr>
            </w:div>
            <w:div w:id="1142191392">
              <w:marLeft w:val="0"/>
              <w:marRight w:val="0"/>
              <w:marTop w:val="0"/>
              <w:marBottom w:val="0"/>
              <w:divBdr>
                <w:top w:val="none" w:sz="0" w:space="0" w:color="auto"/>
                <w:left w:val="none" w:sz="0" w:space="0" w:color="auto"/>
                <w:bottom w:val="none" w:sz="0" w:space="0" w:color="auto"/>
                <w:right w:val="none" w:sz="0" w:space="0" w:color="auto"/>
              </w:divBdr>
            </w:div>
            <w:div w:id="2114208063">
              <w:marLeft w:val="0"/>
              <w:marRight w:val="0"/>
              <w:marTop w:val="0"/>
              <w:marBottom w:val="0"/>
              <w:divBdr>
                <w:top w:val="none" w:sz="0" w:space="0" w:color="auto"/>
                <w:left w:val="none" w:sz="0" w:space="0" w:color="auto"/>
                <w:bottom w:val="none" w:sz="0" w:space="0" w:color="auto"/>
                <w:right w:val="none" w:sz="0" w:space="0" w:color="auto"/>
              </w:divBdr>
            </w:div>
            <w:div w:id="743725833">
              <w:marLeft w:val="0"/>
              <w:marRight w:val="0"/>
              <w:marTop w:val="0"/>
              <w:marBottom w:val="0"/>
              <w:divBdr>
                <w:top w:val="none" w:sz="0" w:space="0" w:color="auto"/>
                <w:left w:val="none" w:sz="0" w:space="0" w:color="auto"/>
                <w:bottom w:val="none" w:sz="0" w:space="0" w:color="auto"/>
                <w:right w:val="none" w:sz="0" w:space="0" w:color="auto"/>
              </w:divBdr>
            </w:div>
            <w:div w:id="315189443">
              <w:marLeft w:val="0"/>
              <w:marRight w:val="0"/>
              <w:marTop w:val="0"/>
              <w:marBottom w:val="0"/>
              <w:divBdr>
                <w:top w:val="none" w:sz="0" w:space="0" w:color="auto"/>
                <w:left w:val="none" w:sz="0" w:space="0" w:color="auto"/>
                <w:bottom w:val="none" w:sz="0" w:space="0" w:color="auto"/>
                <w:right w:val="none" w:sz="0" w:space="0" w:color="auto"/>
              </w:divBdr>
            </w:div>
            <w:div w:id="787507483">
              <w:marLeft w:val="0"/>
              <w:marRight w:val="0"/>
              <w:marTop w:val="0"/>
              <w:marBottom w:val="0"/>
              <w:divBdr>
                <w:top w:val="none" w:sz="0" w:space="0" w:color="auto"/>
                <w:left w:val="none" w:sz="0" w:space="0" w:color="auto"/>
                <w:bottom w:val="none" w:sz="0" w:space="0" w:color="auto"/>
                <w:right w:val="none" w:sz="0" w:space="0" w:color="auto"/>
              </w:divBdr>
            </w:div>
            <w:div w:id="1710910130">
              <w:marLeft w:val="0"/>
              <w:marRight w:val="0"/>
              <w:marTop w:val="0"/>
              <w:marBottom w:val="0"/>
              <w:divBdr>
                <w:top w:val="none" w:sz="0" w:space="0" w:color="auto"/>
                <w:left w:val="none" w:sz="0" w:space="0" w:color="auto"/>
                <w:bottom w:val="none" w:sz="0" w:space="0" w:color="auto"/>
                <w:right w:val="none" w:sz="0" w:space="0" w:color="auto"/>
              </w:divBdr>
            </w:div>
            <w:div w:id="1279484425">
              <w:marLeft w:val="0"/>
              <w:marRight w:val="0"/>
              <w:marTop w:val="0"/>
              <w:marBottom w:val="0"/>
              <w:divBdr>
                <w:top w:val="none" w:sz="0" w:space="0" w:color="auto"/>
                <w:left w:val="none" w:sz="0" w:space="0" w:color="auto"/>
                <w:bottom w:val="none" w:sz="0" w:space="0" w:color="auto"/>
                <w:right w:val="none" w:sz="0" w:space="0" w:color="auto"/>
              </w:divBdr>
            </w:div>
            <w:div w:id="108474236">
              <w:marLeft w:val="0"/>
              <w:marRight w:val="0"/>
              <w:marTop w:val="0"/>
              <w:marBottom w:val="0"/>
              <w:divBdr>
                <w:top w:val="none" w:sz="0" w:space="0" w:color="auto"/>
                <w:left w:val="none" w:sz="0" w:space="0" w:color="auto"/>
                <w:bottom w:val="none" w:sz="0" w:space="0" w:color="auto"/>
                <w:right w:val="none" w:sz="0" w:space="0" w:color="auto"/>
              </w:divBdr>
            </w:div>
            <w:div w:id="846090865">
              <w:marLeft w:val="0"/>
              <w:marRight w:val="0"/>
              <w:marTop w:val="0"/>
              <w:marBottom w:val="0"/>
              <w:divBdr>
                <w:top w:val="none" w:sz="0" w:space="0" w:color="auto"/>
                <w:left w:val="none" w:sz="0" w:space="0" w:color="auto"/>
                <w:bottom w:val="none" w:sz="0" w:space="0" w:color="auto"/>
                <w:right w:val="none" w:sz="0" w:space="0" w:color="auto"/>
              </w:divBdr>
            </w:div>
            <w:div w:id="1507938682">
              <w:marLeft w:val="0"/>
              <w:marRight w:val="0"/>
              <w:marTop w:val="0"/>
              <w:marBottom w:val="0"/>
              <w:divBdr>
                <w:top w:val="none" w:sz="0" w:space="0" w:color="auto"/>
                <w:left w:val="none" w:sz="0" w:space="0" w:color="auto"/>
                <w:bottom w:val="none" w:sz="0" w:space="0" w:color="auto"/>
                <w:right w:val="none" w:sz="0" w:space="0" w:color="auto"/>
              </w:divBdr>
            </w:div>
            <w:div w:id="1502966830">
              <w:marLeft w:val="0"/>
              <w:marRight w:val="0"/>
              <w:marTop w:val="0"/>
              <w:marBottom w:val="0"/>
              <w:divBdr>
                <w:top w:val="none" w:sz="0" w:space="0" w:color="auto"/>
                <w:left w:val="none" w:sz="0" w:space="0" w:color="auto"/>
                <w:bottom w:val="none" w:sz="0" w:space="0" w:color="auto"/>
                <w:right w:val="none" w:sz="0" w:space="0" w:color="auto"/>
              </w:divBdr>
            </w:div>
            <w:div w:id="957955836">
              <w:marLeft w:val="0"/>
              <w:marRight w:val="640"/>
              <w:marTop w:val="0"/>
              <w:marBottom w:val="0"/>
              <w:divBdr>
                <w:top w:val="none" w:sz="0" w:space="0" w:color="auto"/>
                <w:left w:val="none" w:sz="0" w:space="0" w:color="auto"/>
                <w:bottom w:val="none" w:sz="0" w:space="0" w:color="auto"/>
                <w:right w:val="none" w:sz="0" w:space="0" w:color="auto"/>
              </w:divBdr>
            </w:div>
            <w:div w:id="1574320112">
              <w:marLeft w:val="0"/>
              <w:marRight w:val="640"/>
              <w:marTop w:val="0"/>
              <w:marBottom w:val="0"/>
              <w:divBdr>
                <w:top w:val="none" w:sz="0" w:space="0" w:color="auto"/>
                <w:left w:val="none" w:sz="0" w:space="0" w:color="auto"/>
                <w:bottom w:val="none" w:sz="0" w:space="0" w:color="auto"/>
                <w:right w:val="none" w:sz="0" w:space="0" w:color="auto"/>
              </w:divBdr>
            </w:div>
            <w:div w:id="3571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608</Words>
  <Characters>3469</Characters>
  <Application>Microsoft Macintosh Word</Application>
  <DocSecurity>0</DocSecurity>
  <Lines>28</Lines>
  <Paragraphs>8</Paragraphs>
  <ScaleCrop>false</ScaleCrop>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2018-06-11T13:33:00Z</dcterms:created>
  <dcterms:modified xsi:type="dcterms:W3CDTF">2018-06-11T13:33:00Z</dcterms:modified>
</cp:coreProperties>
</file>