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0" w:type="dxa"/>
        <w:shd w:val="clear" w:color="auto" w:fill="FFFFFF"/>
        <w:tblCellMar>
          <w:left w:w="0" w:type="dxa"/>
          <w:right w:w="0" w:type="dxa"/>
        </w:tblCellMar>
        <w:tblLook w:val="04A0" w:firstRow="1" w:lastRow="0" w:firstColumn="1" w:lastColumn="0" w:noHBand="0" w:noVBand="1"/>
      </w:tblPr>
      <w:tblGrid>
        <w:gridCol w:w="8300"/>
      </w:tblGrid>
      <w:tr w:rsidR="005B218B" w:rsidRPr="005B218B" w14:paraId="19A93E95" w14:textId="77777777" w:rsidTr="005B218B">
        <w:trPr>
          <w:trHeight w:val="560"/>
          <w:tblCellSpacing w:w="10" w:type="dxa"/>
        </w:trPr>
        <w:tc>
          <w:tcPr>
            <w:tcW w:w="24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500"/>
              <w:gridCol w:w="6760"/>
            </w:tblGrid>
            <w:tr w:rsidR="005B218B" w:rsidRPr="005B218B" w14:paraId="49308A67" w14:textId="77777777" w:rsidTr="005B218B">
              <w:trPr>
                <w:tblCellSpacing w:w="0" w:type="dxa"/>
              </w:trPr>
              <w:tc>
                <w:tcPr>
                  <w:tcW w:w="1500" w:type="dxa"/>
                  <w:vAlign w:val="center"/>
                  <w:hideMark/>
                </w:tcPr>
                <w:p w14:paraId="023F9DA0" w14:textId="77777777" w:rsidR="005B218B" w:rsidRPr="005B218B" w:rsidRDefault="005B218B" w:rsidP="005B218B">
                  <w:pPr>
                    <w:widowControl/>
                    <w:jc w:val="left"/>
                    <w:rPr>
                      <w:rFonts w:ascii="Times New Roman" w:eastAsia="Times New Roman" w:hAnsi="Times New Roman" w:cs="Times New Roman"/>
                      <w:b/>
                      <w:bCs/>
                      <w:kern w:val="0"/>
                      <w:sz w:val="21"/>
                      <w:szCs w:val="21"/>
                    </w:rPr>
                  </w:pPr>
                  <w:r w:rsidRPr="005B218B">
                    <w:rPr>
                      <w:rFonts w:ascii="MS Mincho" w:eastAsia="MS Mincho" w:hAnsi="MS Mincho" w:cs="MS Mincho"/>
                      <w:b/>
                      <w:bCs/>
                      <w:kern w:val="0"/>
                      <w:sz w:val="21"/>
                      <w:szCs w:val="21"/>
                    </w:rPr>
                    <w:t>【</w:t>
                  </w:r>
                  <w:r w:rsidRPr="005B218B">
                    <w:rPr>
                      <w:rFonts w:ascii="SimSun" w:eastAsia="SimSun" w:hAnsi="SimSun" w:cs="SimSun"/>
                      <w:b/>
                      <w:bCs/>
                      <w:kern w:val="0"/>
                      <w:sz w:val="21"/>
                      <w:szCs w:val="21"/>
                    </w:rPr>
                    <w:t>标题</w:t>
                  </w:r>
                  <w:r w:rsidRPr="005B218B">
                    <w:rPr>
                      <w:rFonts w:ascii="MS Mincho" w:eastAsia="MS Mincho" w:hAnsi="MS Mincho" w:cs="MS Mincho"/>
                      <w:b/>
                      <w:bCs/>
                      <w:kern w:val="0"/>
                      <w:sz w:val="21"/>
                      <w:szCs w:val="21"/>
                    </w:rPr>
                    <w:t>】</w:t>
                  </w:r>
                </w:p>
              </w:tc>
              <w:tc>
                <w:tcPr>
                  <w:tcW w:w="0" w:type="auto"/>
                  <w:vAlign w:val="center"/>
                  <w:hideMark/>
                </w:tcPr>
                <w:p w14:paraId="5D8EC536" w14:textId="77777777" w:rsidR="005B218B" w:rsidRPr="005B218B" w:rsidRDefault="005B218B" w:rsidP="005B218B">
                  <w:pPr>
                    <w:widowControl/>
                    <w:jc w:val="left"/>
                    <w:rPr>
                      <w:rFonts w:ascii="Times New Roman" w:eastAsia="Times New Roman" w:hAnsi="Times New Roman" w:cs="Times New Roman"/>
                      <w:b/>
                      <w:bCs/>
                      <w:kern w:val="0"/>
                      <w:sz w:val="21"/>
                      <w:szCs w:val="21"/>
                    </w:rPr>
                  </w:pPr>
                  <w:r w:rsidRPr="005B218B">
                    <w:rPr>
                      <w:rFonts w:ascii="MS Mincho" w:eastAsia="MS Mincho" w:hAnsi="MS Mincho" w:cs="MS Mincho"/>
                      <w:b/>
                      <w:bCs/>
                      <w:kern w:val="0"/>
                      <w:sz w:val="21"/>
                      <w:szCs w:val="21"/>
                    </w:rPr>
                    <w:t>厦</w:t>
                  </w:r>
                  <w:r w:rsidRPr="005B218B">
                    <w:rPr>
                      <w:rFonts w:ascii="SimSun" w:eastAsia="SimSun" w:hAnsi="SimSun" w:cs="SimSun"/>
                      <w:b/>
                      <w:bCs/>
                      <w:kern w:val="0"/>
                      <w:sz w:val="21"/>
                      <w:szCs w:val="21"/>
                    </w:rPr>
                    <w:t>门</w:t>
                  </w:r>
                  <w:r w:rsidRPr="005B218B">
                    <w:rPr>
                      <w:rFonts w:ascii="MS Mincho" w:eastAsia="MS Mincho" w:hAnsi="MS Mincho" w:cs="MS Mincho"/>
                      <w:b/>
                      <w:bCs/>
                      <w:kern w:val="0"/>
                      <w:sz w:val="21"/>
                      <w:szCs w:val="21"/>
                    </w:rPr>
                    <w:t>市</w:t>
                  </w:r>
                  <w:r w:rsidRPr="005B218B">
                    <w:rPr>
                      <w:rFonts w:ascii="SimSun" w:eastAsia="SimSun" w:hAnsi="SimSun" w:cs="SimSun"/>
                      <w:b/>
                      <w:bCs/>
                      <w:kern w:val="0"/>
                      <w:sz w:val="21"/>
                      <w:szCs w:val="21"/>
                    </w:rPr>
                    <w:t>经济</w:t>
                  </w:r>
                  <w:r w:rsidRPr="005B218B">
                    <w:rPr>
                      <w:rFonts w:ascii="MS Mincho" w:eastAsia="MS Mincho" w:hAnsi="MS Mincho" w:cs="MS Mincho"/>
                      <w:b/>
                      <w:bCs/>
                      <w:kern w:val="0"/>
                      <w:sz w:val="21"/>
                      <w:szCs w:val="21"/>
                    </w:rPr>
                    <w:t>和信息化局　厦</w:t>
                  </w:r>
                  <w:r w:rsidRPr="005B218B">
                    <w:rPr>
                      <w:rFonts w:ascii="SimSun" w:eastAsia="SimSun" w:hAnsi="SimSun" w:cs="SimSun"/>
                      <w:b/>
                      <w:bCs/>
                      <w:kern w:val="0"/>
                      <w:sz w:val="21"/>
                      <w:szCs w:val="21"/>
                    </w:rPr>
                    <w:t>门</w:t>
                  </w:r>
                  <w:r w:rsidRPr="005B218B">
                    <w:rPr>
                      <w:rFonts w:ascii="MS Mincho" w:eastAsia="MS Mincho" w:hAnsi="MS Mincho" w:cs="MS Mincho"/>
                      <w:b/>
                      <w:bCs/>
                      <w:kern w:val="0"/>
                      <w:sz w:val="21"/>
                      <w:szCs w:val="21"/>
                    </w:rPr>
                    <w:t>市</w:t>
                  </w:r>
                  <w:r w:rsidRPr="005B218B">
                    <w:rPr>
                      <w:rFonts w:ascii="SimSun" w:eastAsia="SimSun" w:hAnsi="SimSun" w:cs="SimSun"/>
                      <w:b/>
                      <w:bCs/>
                      <w:kern w:val="0"/>
                      <w:sz w:val="21"/>
                      <w:szCs w:val="21"/>
                    </w:rPr>
                    <w:t>财</w:t>
                  </w:r>
                  <w:r w:rsidRPr="005B218B">
                    <w:rPr>
                      <w:rFonts w:ascii="MS Mincho" w:eastAsia="MS Mincho" w:hAnsi="MS Mincho" w:cs="MS Mincho"/>
                      <w:b/>
                      <w:bCs/>
                      <w:kern w:val="0"/>
                      <w:sz w:val="21"/>
                      <w:szCs w:val="21"/>
                    </w:rPr>
                    <w:t>政局关于印</w:t>
                  </w:r>
                  <w:r w:rsidRPr="005B218B">
                    <w:rPr>
                      <w:rFonts w:ascii="SimSun" w:eastAsia="SimSun" w:hAnsi="SimSun" w:cs="SimSun"/>
                      <w:b/>
                      <w:bCs/>
                      <w:kern w:val="0"/>
                      <w:sz w:val="21"/>
                      <w:szCs w:val="21"/>
                    </w:rPr>
                    <w:t>发</w:t>
                  </w:r>
                  <w:r w:rsidRPr="005B218B">
                    <w:rPr>
                      <w:rFonts w:ascii="MS Mincho" w:eastAsia="MS Mincho" w:hAnsi="MS Mincho" w:cs="MS Mincho"/>
                      <w:b/>
                      <w:bCs/>
                      <w:kern w:val="0"/>
                      <w:sz w:val="21"/>
                      <w:szCs w:val="21"/>
                    </w:rPr>
                    <w:t>《厦</w:t>
                  </w:r>
                  <w:r w:rsidRPr="005B218B">
                    <w:rPr>
                      <w:rFonts w:ascii="SimSun" w:eastAsia="SimSun" w:hAnsi="SimSun" w:cs="SimSun"/>
                      <w:b/>
                      <w:bCs/>
                      <w:kern w:val="0"/>
                      <w:sz w:val="21"/>
                      <w:szCs w:val="21"/>
                    </w:rPr>
                    <w:t>门</w:t>
                  </w:r>
                  <w:r w:rsidRPr="005B218B">
                    <w:rPr>
                      <w:rFonts w:ascii="MS Mincho" w:eastAsia="MS Mincho" w:hAnsi="MS Mincho" w:cs="MS Mincho"/>
                      <w:b/>
                      <w:bCs/>
                      <w:kern w:val="0"/>
                      <w:sz w:val="21"/>
                      <w:szCs w:val="21"/>
                    </w:rPr>
                    <w:t>市企</w:t>
                  </w:r>
                  <w:r w:rsidRPr="005B218B">
                    <w:rPr>
                      <w:rFonts w:ascii="SimSun" w:eastAsia="SimSun" w:hAnsi="SimSun" w:cs="SimSun"/>
                      <w:b/>
                      <w:bCs/>
                      <w:kern w:val="0"/>
                      <w:sz w:val="21"/>
                      <w:szCs w:val="21"/>
                    </w:rPr>
                    <w:t>业</w:t>
                  </w:r>
                  <w:r w:rsidRPr="005B218B">
                    <w:rPr>
                      <w:rFonts w:ascii="MS Mincho" w:eastAsia="MS Mincho" w:hAnsi="MS Mincho" w:cs="MS Mincho"/>
                      <w:b/>
                      <w:bCs/>
                      <w:kern w:val="0"/>
                      <w:sz w:val="21"/>
                      <w:szCs w:val="21"/>
                    </w:rPr>
                    <w:t>技</w:t>
                  </w:r>
                  <w:r w:rsidRPr="005B218B">
                    <w:rPr>
                      <w:rFonts w:ascii="SimSun" w:eastAsia="SimSun" w:hAnsi="SimSun" w:cs="SimSun"/>
                      <w:b/>
                      <w:bCs/>
                      <w:kern w:val="0"/>
                      <w:sz w:val="21"/>
                      <w:szCs w:val="21"/>
                    </w:rPr>
                    <w:t>术</w:t>
                  </w:r>
                  <w:r w:rsidRPr="005B218B">
                    <w:rPr>
                      <w:rFonts w:ascii="MS Mincho" w:eastAsia="MS Mincho" w:hAnsi="MS Mincho" w:cs="MS Mincho"/>
                      <w:b/>
                      <w:bCs/>
                      <w:kern w:val="0"/>
                      <w:sz w:val="21"/>
                      <w:szCs w:val="21"/>
                    </w:rPr>
                    <w:t>中心</w:t>
                  </w:r>
                  <w:r w:rsidRPr="005B218B">
                    <w:rPr>
                      <w:rFonts w:ascii="SimSun" w:eastAsia="SimSun" w:hAnsi="SimSun" w:cs="SimSun"/>
                      <w:b/>
                      <w:bCs/>
                      <w:kern w:val="0"/>
                      <w:sz w:val="21"/>
                      <w:szCs w:val="21"/>
                    </w:rPr>
                    <w:t>认</w:t>
                  </w:r>
                  <w:r w:rsidRPr="005B218B">
                    <w:rPr>
                      <w:rFonts w:ascii="MS Mincho" w:eastAsia="MS Mincho" w:hAnsi="MS Mincho" w:cs="MS Mincho"/>
                      <w:b/>
                      <w:bCs/>
                      <w:kern w:val="0"/>
                      <w:sz w:val="21"/>
                      <w:szCs w:val="21"/>
                    </w:rPr>
                    <w:t>定管理</w:t>
                  </w:r>
                  <w:r w:rsidRPr="005B218B">
                    <w:rPr>
                      <w:rFonts w:ascii="SimSun" w:eastAsia="SimSun" w:hAnsi="SimSun" w:cs="SimSun"/>
                      <w:b/>
                      <w:bCs/>
                      <w:kern w:val="0"/>
                      <w:sz w:val="21"/>
                      <w:szCs w:val="21"/>
                    </w:rPr>
                    <w:t>办</w:t>
                  </w:r>
                  <w:r w:rsidRPr="005B218B">
                    <w:rPr>
                      <w:rFonts w:ascii="MS Mincho" w:eastAsia="MS Mincho" w:hAnsi="MS Mincho" w:cs="MS Mincho"/>
                      <w:b/>
                      <w:bCs/>
                      <w:kern w:val="0"/>
                      <w:sz w:val="21"/>
                      <w:szCs w:val="21"/>
                    </w:rPr>
                    <w:t>法》的通知</w:t>
                  </w:r>
                </w:p>
              </w:tc>
            </w:tr>
            <w:tr w:rsidR="005B218B" w:rsidRPr="005B218B" w14:paraId="6820AC71" w14:textId="77777777" w:rsidTr="005B218B">
              <w:trPr>
                <w:trHeight w:val="600"/>
                <w:tblCellSpacing w:w="0" w:type="dxa"/>
              </w:trPr>
              <w:tc>
                <w:tcPr>
                  <w:tcW w:w="0" w:type="auto"/>
                  <w:gridSpan w:val="2"/>
                  <w:vAlign w:val="center"/>
                  <w:hideMark/>
                </w:tcPr>
                <w:p w14:paraId="663A5D78" w14:textId="77777777" w:rsidR="005B218B" w:rsidRPr="005B218B" w:rsidRDefault="005B218B" w:rsidP="005B218B">
                  <w:pPr>
                    <w:widowControl/>
                    <w:jc w:val="left"/>
                    <w:rPr>
                      <w:rFonts w:ascii="Times New Roman" w:eastAsia="Times New Roman" w:hAnsi="Times New Roman" w:cs="Times New Roman"/>
                      <w:kern w:val="0"/>
                      <w:sz w:val="21"/>
                      <w:szCs w:val="21"/>
                    </w:rPr>
                  </w:pPr>
                  <w:r w:rsidRPr="005B218B">
                    <w:rPr>
                      <w:rFonts w:ascii="MS Mincho" w:eastAsia="MS Mincho" w:hAnsi="MS Mincho" w:cs="MS Mincho"/>
                      <w:kern w:val="0"/>
                      <w:sz w:val="21"/>
                      <w:szCs w:val="21"/>
                    </w:rPr>
                    <w:t>【</w:t>
                  </w:r>
                  <w:r w:rsidRPr="005B218B">
                    <w:rPr>
                      <w:rFonts w:ascii="MS Mincho" w:eastAsia="MS Mincho" w:hAnsi="MS Mincho" w:cs="MS Mincho"/>
                      <w:b/>
                      <w:bCs/>
                      <w:kern w:val="0"/>
                      <w:sz w:val="21"/>
                      <w:szCs w:val="21"/>
                    </w:rPr>
                    <w:t>文号</w:t>
                  </w:r>
                  <w:r w:rsidRPr="005B218B">
                    <w:rPr>
                      <w:rFonts w:ascii="MS Mincho" w:eastAsia="MS Mincho" w:hAnsi="MS Mincho" w:cs="MS Mincho"/>
                      <w:kern w:val="0"/>
                      <w:sz w:val="21"/>
                      <w:szCs w:val="21"/>
                    </w:rPr>
                    <w:t>】</w:t>
                  </w:r>
                  <w:r w:rsidRPr="005B218B">
                    <w:rPr>
                      <w:rFonts w:ascii="Times New Roman" w:eastAsia="Times New Roman" w:hAnsi="Times New Roman" w:cs="Times New Roman"/>
                      <w:kern w:val="0"/>
                      <w:sz w:val="21"/>
                      <w:szCs w:val="21"/>
                    </w:rPr>
                    <w:t> </w:t>
                  </w:r>
                  <w:r w:rsidRPr="005B218B">
                    <w:rPr>
                      <w:rFonts w:ascii="MS Mincho" w:eastAsia="MS Mincho" w:hAnsi="MS Mincho" w:cs="MS Mincho"/>
                      <w:kern w:val="0"/>
                      <w:sz w:val="21"/>
                      <w:szCs w:val="21"/>
                    </w:rPr>
                    <w:t>厦</w:t>
                  </w:r>
                  <w:r w:rsidRPr="005B218B">
                    <w:rPr>
                      <w:rFonts w:ascii="SimSun" w:eastAsia="SimSun" w:hAnsi="SimSun" w:cs="SimSun"/>
                      <w:kern w:val="0"/>
                      <w:sz w:val="21"/>
                      <w:szCs w:val="21"/>
                    </w:rPr>
                    <w:t>经</w:t>
                  </w:r>
                  <w:r w:rsidRPr="005B218B">
                    <w:rPr>
                      <w:rFonts w:ascii="MS Mincho" w:eastAsia="MS Mincho" w:hAnsi="MS Mincho" w:cs="MS Mincho"/>
                      <w:kern w:val="0"/>
                      <w:sz w:val="21"/>
                      <w:szCs w:val="21"/>
                    </w:rPr>
                    <w:t>信技</w:t>
                  </w:r>
                  <w:r w:rsidRPr="005B218B">
                    <w:rPr>
                      <w:rFonts w:ascii="SimSun" w:eastAsia="SimSun" w:hAnsi="SimSun" w:cs="SimSun"/>
                      <w:kern w:val="0"/>
                      <w:sz w:val="21"/>
                      <w:szCs w:val="21"/>
                    </w:rPr>
                    <w:t>术</w:t>
                  </w:r>
                  <w:r w:rsidRPr="005B218B">
                    <w:rPr>
                      <w:rFonts w:ascii="MS Mincho" w:eastAsia="MS Mincho" w:hAnsi="MS Mincho" w:cs="MS Mincho"/>
                      <w:kern w:val="0"/>
                      <w:sz w:val="21"/>
                      <w:szCs w:val="21"/>
                    </w:rPr>
                    <w:t>〔</w:t>
                  </w:r>
                  <w:r w:rsidRPr="005B218B">
                    <w:rPr>
                      <w:rFonts w:ascii="Times New Roman" w:eastAsia="Times New Roman" w:hAnsi="Times New Roman" w:cs="Times New Roman"/>
                      <w:kern w:val="0"/>
                      <w:sz w:val="21"/>
                      <w:szCs w:val="21"/>
                    </w:rPr>
                    <w:t>2016</w:t>
                  </w:r>
                  <w:r w:rsidRPr="005B218B">
                    <w:rPr>
                      <w:rFonts w:ascii="MS Mincho" w:eastAsia="MS Mincho" w:hAnsi="MS Mincho" w:cs="MS Mincho"/>
                      <w:kern w:val="0"/>
                      <w:sz w:val="21"/>
                      <w:szCs w:val="21"/>
                    </w:rPr>
                    <w:t>〕</w:t>
                  </w:r>
                  <w:r w:rsidRPr="005B218B">
                    <w:rPr>
                      <w:rFonts w:ascii="Times New Roman" w:eastAsia="Times New Roman" w:hAnsi="Times New Roman" w:cs="Times New Roman"/>
                      <w:kern w:val="0"/>
                      <w:sz w:val="21"/>
                      <w:szCs w:val="21"/>
                    </w:rPr>
                    <w:t>487</w:t>
                  </w:r>
                  <w:r w:rsidRPr="005B218B">
                    <w:rPr>
                      <w:rFonts w:ascii="MS Mincho" w:eastAsia="MS Mincho" w:hAnsi="MS Mincho" w:cs="MS Mincho"/>
                      <w:kern w:val="0"/>
                      <w:sz w:val="21"/>
                      <w:szCs w:val="21"/>
                    </w:rPr>
                    <w:t>号</w:t>
                  </w:r>
                </w:p>
              </w:tc>
            </w:tr>
          </w:tbl>
          <w:p w14:paraId="488461D0" w14:textId="77777777" w:rsidR="005B218B" w:rsidRPr="005B218B" w:rsidRDefault="005B218B" w:rsidP="005B218B">
            <w:pPr>
              <w:widowControl/>
              <w:spacing w:after="105"/>
              <w:jc w:val="left"/>
              <w:rPr>
                <w:rFonts w:ascii="STHeiti" w:eastAsia="STHeiti" w:hAnsi="STHeiti" w:cs="Times New Roman"/>
                <w:kern w:val="0"/>
                <w:sz w:val="18"/>
                <w:szCs w:val="18"/>
              </w:rPr>
            </w:pPr>
          </w:p>
        </w:tc>
      </w:tr>
      <w:tr w:rsidR="005B218B" w:rsidRPr="005B218B" w14:paraId="0791A253" w14:textId="77777777" w:rsidTr="005B218B">
        <w:trPr>
          <w:trHeight w:val="600"/>
          <w:tblCellSpacing w:w="10" w:type="dxa"/>
        </w:trPr>
        <w:tc>
          <w:tcPr>
            <w:tcW w:w="0" w:type="auto"/>
            <w:shd w:val="clear" w:color="auto" w:fill="FFFFFF"/>
            <w:vAlign w:val="center"/>
            <w:hideMark/>
          </w:tcPr>
          <w:p w14:paraId="0CD2A1B0" w14:textId="77777777" w:rsidR="005B218B" w:rsidRPr="005B218B" w:rsidRDefault="005B218B" w:rsidP="005B218B">
            <w:pPr>
              <w:widowControl/>
              <w:spacing w:after="105"/>
              <w:jc w:val="left"/>
              <w:rPr>
                <w:rFonts w:ascii="STHeiti" w:eastAsia="STHeiti" w:hAnsi="STHeiti" w:cs="Times New Roman"/>
                <w:kern w:val="0"/>
                <w:sz w:val="21"/>
                <w:szCs w:val="21"/>
              </w:rPr>
            </w:pPr>
            <w:r w:rsidRPr="005B218B">
              <w:rPr>
                <w:rFonts w:ascii="STHeiti" w:eastAsia="STHeiti" w:hAnsi="STHeiti" w:cs="Times New Roman" w:hint="eastAsia"/>
                <w:kern w:val="0"/>
                <w:sz w:val="21"/>
                <w:szCs w:val="21"/>
              </w:rPr>
              <w:t>【</w:t>
            </w:r>
            <w:r w:rsidRPr="005B218B">
              <w:rPr>
                <w:rFonts w:ascii="STHeiti" w:eastAsia="STHeiti" w:hAnsi="STHeiti" w:cs="Times New Roman" w:hint="eastAsia"/>
                <w:b/>
                <w:bCs/>
                <w:kern w:val="0"/>
                <w:sz w:val="21"/>
                <w:szCs w:val="21"/>
              </w:rPr>
              <w:t>颁布单位</w:t>
            </w:r>
            <w:r w:rsidRPr="005B218B">
              <w:rPr>
                <w:rFonts w:ascii="STHeiti" w:eastAsia="STHeiti" w:hAnsi="STHeiti" w:cs="Times New Roman" w:hint="eastAsia"/>
                <w:kern w:val="0"/>
                <w:sz w:val="21"/>
                <w:szCs w:val="21"/>
              </w:rPr>
              <w:t>】 厦门市经济和信息化局　厦门市财政局</w:t>
            </w:r>
          </w:p>
        </w:tc>
      </w:tr>
      <w:tr w:rsidR="005B218B" w:rsidRPr="005B218B" w14:paraId="03900DF9" w14:textId="77777777" w:rsidTr="005B218B">
        <w:trPr>
          <w:trHeight w:val="600"/>
          <w:tblCellSpacing w:w="10" w:type="dxa"/>
        </w:trPr>
        <w:tc>
          <w:tcPr>
            <w:tcW w:w="0" w:type="auto"/>
            <w:shd w:val="clear" w:color="auto" w:fill="FFFFFF"/>
            <w:vAlign w:val="center"/>
            <w:hideMark/>
          </w:tcPr>
          <w:p w14:paraId="790D0545" w14:textId="77777777" w:rsidR="005B218B" w:rsidRPr="005B218B" w:rsidRDefault="005B218B" w:rsidP="005B218B">
            <w:pPr>
              <w:widowControl/>
              <w:spacing w:after="105"/>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w:t>
            </w:r>
            <w:r w:rsidRPr="005B218B">
              <w:rPr>
                <w:rFonts w:ascii="STHeiti" w:eastAsia="STHeiti" w:hAnsi="STHeiti" w:cs="Times New Roman" w:hint="eastAsia"/>
                <w:b/>
                <w:bCs/>
                <w:kern w:val="0"/>
                <w:sz w:val="21"/>
                <w:szCs w:val="21"/>
              </w:rPr>
              <w:t>颁布日期</w:t>
            </w:r>
            <w:r w:rsidRPr="005B218B">
              <w:rPr>
                <w:rFonts w:ascii="STHeiti" w:eastAsia="STHeiti" w:hAnsi="STHeiti" w:cs="Times New Roman" w:hint="eastAsia"/>
                <w:kern w:val="0"/>
                <w:sz w:val="21"/>
                <w:szCs w:val="21"/>
              </w:rPr>
              <w:t>】 2016-12-26</w:t>
            </w:r>
          </w:p>
        </w:tc>
      </w:tr>
      <w:tr w:rsidR="005B218B" w:rsidRPr="005B218B" w14:paraId="41AEEC6D" w14:textId="77777777" w:rsidTr="005B218B">
        <w:trPr>
          <w:trHeight w:val="600"/>
          <w:tblCellSpacing w:w="10" w:type="dxa"/>
        </w:trPr>
        <w:tc>
          <w:tcPr>
            <w:tcW w:w="0" w:type="auto"/>
            <w:shd w:val="clear" w:color="auto" w:fill="FFFFFF"/>
            <w:vAlign w:val="center"/>
            <w:hideMark/>
          </w:tcPr>
          <w:p w14:paraId="4874BE22" w14:textId="77777777" w:rsidR="005B218B" w:rsidRPr="005B218B" w:rsidRDefault="005B218B" w:rsidP="005B218B">
            <w:pPr>
              <w:widowControl/>
              <w:spacing w:after="105"/>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w:t>
            </w:r>
            <w:r w:rsidRPr="005B218B">
              <w:rPr>
                <w:rFonts w:ascii="STHeiti" w:eastAsia="STHeiti" w:hAnsi="STHeiti" w:cs="Times New Roman" w:hint="eastAsia"/>
                <w:b/>
                <w:bCs/>
                <w:kern w:val="0"/>
                <w:sz w:val="21"/>
                <w:szCs w:val="21"/>
              </w:rPr>
              <w:t>实施日期</w:t>
            </w:r>
            <w:r w:rsidRPr="005B218B">
              <w:rPr>
                <w:rFonts w:ascii="STHeiti" w:eastAsia="STHeiti" w:hAnsi="STHeiti" w:cs="Times New Roman" w:hint="eastAsia"/>
                <w:kern w:val="0"/>
                <w:sz w:val="21"/>
                <w:szCs w:val="21"/>
              </w:rPr>
              <w:t>】 2017-01-01</w:t>
            </w:r>
          </w:p>
        </w:tc>
      </w:tr>
      <w:tr w:rsidR="005B218B" w:rsidRPr="005B218B" w14:paraId="15D1A784" w14:textId="77777777" w:rsidTr="005B218B">
        <w:trPr>
          <w:trHeight w:val="600"/>
          <w:tblCellSpacing w:w="10" w:type="dxa"/>
        </w:trPr>
        <w:tc>
          <w:tcPr>
            <w:tcW w:w="0" w:type="auto"/>
            <w:shd w:val="clear" w:color="auto" w:fill="FFFFFF"/>
            <w:vAlign w:val="center"/>
            <w:hideMark/>
          </w:tcPr>
          <w:p w14:paraId="6EB0F5C6" w14:textId="77777777" w:rsidR="005B218B" w:rsidRPr="005B218B" w:rsidRDefault="005B218B" w:rsidP="005B218B">
            <w:pPr>
              <w:widowControl/>
              <w:spacing w:after="105"/>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w:t>
            </w:r>
            <w:r w:rsidRPr="005B218B">
              <w:rPr>
                <w:rFonts w:ascii="STHeiti" w:eastAsia="STHeiti" w:hAnsi="STHeiti" w:cs="Times New Roman" w:hint="eastAsia"/>
                <w:b/>
                <w:bCs/>
                <w:kern w:val="0"/>
                <w:sz w:val="21"/>
                <w:szCs w:val="21"/>
              </w:rPr>
              <w:t>失效日期</w:t>
            </w:r>
            <w:r w:rsidRPr="005B218B">
              <w:rPr>
                <w:rFonts w:ascii="STHeiti" w:eastAsia="STHeiti" w:hAnsi="STHeiti" w:cs="Times New Roman" w:hint="eastAsia"/>
                <w:kern w:val="0"/>
                <w:sz w:val="21"/>
                <w:szCs w:val="21"/>
              </w:rPr>
              <w:t>】 2022-01-01</w:t>
            </w:r>
          </w:p>
        </w:tc>
      </w:tr>
      <w:tr w:rsidR="005B218B" w:rsidRPr="005B218B" w14:paraId="4C0490C5" w14:textId="77777777" w:rsidTr="005B218B">
        <w:trPr>
          <w:trHeight w:val="600"/>
          <w:tblCellSpacing w:w="10" w:type="dxa"/>
        </w:trPr>
        <w:tc>
          <w:tcPr>
            <w:tcW w:w="0" w:type="auto"/>
            <w:shd w:val="clear" w:color="auto" w:fill="FFFFFF"/>
            <w:vAlign w:val="center"/>
            <w:hideMark/>
          </w:tcPr>
          <w:p w14:paraId="27142CBA" w14:textId="77777777" w:rsidR="005B218B" w:rsidRPr="005B218B" w:rsidRDefault="005B218B" w:rsidP="005B218B">
            <w:pPr>
              <w:widowControl/>
              <w:spacing w:after="105"/>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w:t>
            </w:r>
            <w:r w:rsidRPr="005B218B">
              <w:rPr>
                <w:rFonts w:ascii="STHeiti" w:eastAsia="STHeiti" w:hAnsi="STHeiti" w:cs="Times New Roman" w:hint="eastAsia"/>
                <w:b/>
                <w:bCs/>
                <w:kern w:val="0"/>
                <w:sz w:val="21"/>
                <w:szCs w:val="21"/>
              </w:rPr>
              <w:t>时效性</w:t>
            </w:r>
            <w:r w:rsidRPr="005B218B">
              <w:rPr>
                <w:rFonts w:ascii="STHeiti" w:eastAsia="STHeiti" w:hAnsi="STHeiti" w:cs="Times New Roman" w:hint="eastAsia"/>
                <w:kern w:val="0"/>
                <w:sz w:val="21"/>
                <w:szCs w:val="21"/>
              </w:rPr>
              <w:t>】 有效</w:t>
            </w:r>
          </w:p>
        </w:tc>
      </w:tr>
      <w:tr w:rsidR="005B218B" w:rsidRPr="005B218B" w14:paraId="414C3CC8" w14:textId="77777777" w:rsidTr="005B218B">
        <w:trPr>
          <w:trHeight w:val="600"/>
          <w:tblCellSpacing w:w="10" w:type="dxa"/>
        </w:trPr>
        <w:tc>
          <w:tcPr>
            <w:tcW w:w="0" w:type="auto"/>
            <w:shd w:val="clear" w:color="auto" w:fill="FFFFFF"/>
            <w:vAlign w:val="center"/>
            <w:hideMark/>
          </w:tcPr>
          <w:p w14:paraId="6632AE0E" w14:textId="77777777" w:rsidR="005B218B" w:rsidRPr="005B218B" w:rsidRDefault="005B218B" w:rsidP="005B218B">
            <w:pPr>
              <w:widowControl/>
              <w:spacing w:after="105"/>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w:t>
            </w:r>
            <w:r w:rsidRPr="005B218B">
              <w:rPr>
                <w:rFonts w:ascii="STHeiti" w:eastAsia="STHeiti" w:hAnsi="STHeiti" w:cs="Times New Roman" w:hint="eastAsia"/>
                <w:b/>
                <w:bCs/>
                <w:kern w:val="0"/>
                <w:sz w:val="21"/>
                <w:szCs w:val="21"/>
              </w:rPr>
              <w:t>有效期</w:t>
            </w:r>
            <w:r w:rsidRPr="005B218B">
              <w:rPr>
                <w:rFonts w:ascii="STHeiti" w:eastAsia="STHeiti" w:hAnsi="STHeiti" w:cs="Times New Roman" w:hint="eastAsia"/>
                <w:kern w:val="0"/>
                <w:sz w:val="21"/>
                <w:szCs w:val="21"/>
              </w:rPr>
              <w:t>】 5年</w:t>
            </w:r>
          </w:p>
        </w:tc>
      </w:tr>
      <w:tr w:rsidR="005B218B" w:rsidRPr="005B218B" w14:paraId="258E44FC" w14:textId="77777777" w:rsidTr="005B218B">
        <w:trPr>
          <w:trHeight w:val="600"/>
          <w:tblCellSpacing w:w="10" w:type="dxa"/>
        </w:trPr>
        <w:tc>
          <w:tcPr>
            <w:tcW w:w="0" w:type="auto"/>
            <w:shd w:val="clear" w:color="auto" w:fill="FFFFFF"/>
            <w:vAlign w:val="center"/>
            <w:hideMark/>
          </w:tcPr>
          <w:p w14:paraId="24C49B80" w14:textId="77777777" w:rsidR="005B218B" w:rsidRPr="005B218B" w:rsidRDefault="005B218B" w:rsidP="005B218B">
            <w:pPr>
              <w:widowControl/>
              <w:spacing w:after="105"/>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w:t>
            </w:r>
            <w:r w:rsidRPr="005B218B">
              <w:rPr>
                <w:rFonts w:ascii="STHeiti" w:eastAsia="STHeiti" w:hAnsi="STHeiti" w:cs="Times New Roman" w:hint="eastAsia"/>
                <w:b/>
                <w:bCs/>
                <w:kern w:val="0"/>
                <w:sz w:val="21"/>
                <w:szCs w:val="21"/>
              </w:rPr>
              <w:t>内容分类</w:t>
            </w:r>
            <w:r w:rsidRPr="005B218B">
              <w:rPr>
                <w:rFonts w:ascii="STHeiti" w:eastAsia="STHeiti" w:hAnsi="STHeiti" w:cs="Times New Roman" w:hint="eastAsia"/>
                <w:kern w:val="0"/>
                <w:sz w:val="21"/>
                <w:szCs w:val="21"/>
              </w:rPr>
              <w:t>】 企业　财税</w:t>
            </w:r>
          </w:p>
        </w:tc>
      </w:tr>
      <w:tr w:rsidR="005B218B" w:rsidRPr="005B218B" w14:paraId="3C9803F8" w14:textId="77777777" w:rsidTr="005B218B">
        <w:trPr>
          <w:tblCellSpacing w:w="10" w:type="dxa"/>
        </w:trPr>
        <w:tc>
          <w:tcPr>
            <w:tcW w:w="0" w:type="auto"/>
            <w:shd w:val="clear" w:color="auto" w:fill="FFFFFF"/>
            <w:vAlign w:val="center"/>
            <w:hideMark/>
          </w:tcPr>
          <w:p w14:paraId="5DF935F6" w14:textId="77777777" w:rsidR="005B218B" w:rsidRPr="005B218B" w:rsidRDefault="005B218B" w:rsidP="005B218B">
            <w:pPr>
              <w:widowControl/>
              <w:spacing w:after="105"/>
              <w:jc w:val="left"/>
              <w:rPr>
                <w:rFonts w:ascii="STHeiti" w:eastAsia="STHeiti" w:hAnsi="STHeiti" w:cs="Times New Roman" w:hint="eastAsia"/>
                <w:kern w:val="0"/>
                <w:sz w:val="21"/>
                <w:szCs w:val="21"/>
              </w:rPr>
            </w:pPr>
          </w:p>
        </w:tc>
      </w:tr>
      <w:tr w:rsidR="005B218B" w:rsidRPr="005B218B" w14:paraId="751F8051" w14:textId="77777777" w:rsidTr="005B218B">
        <w:trPr>
          <w:trHeight w:val="240"/>
          <w:tblCellSpacing w:w="10" w:type="dxa"/>
        </w:trPr>
        <w:tc>
          <w:tcPr>
            <w:tcW w:w="0" w:type="auto"/>
            <w:shd w:val="clear" w:color="auto" w:fill="FFFFFF"/>
            <w:vAlign w:val="center"/>
            <w:hideMark/>
          </w:tcPr>
          <w:p w14:paraId="2EDD269F" w14:textId="77777777" w:rsidR="005B218B" w:rsidRPr="005B218B" w:rsidRDefault="005B218B" w:rsidP="005B218B">
            <w:pPr>
              <w:widowControl/>
              <w:spacing w:after="105"/>
              <w:jc w:val="left"/>
              <w:rPr>
                <w:rFonts w:ascii="Times New Roman" w:eastAsia="Times New Roman" w:hAnsi="Times New Roman" w:cs="Times New Roman"/>
                <w:kern w:val="0"/>
                <w:sz w:val="20"/>
                <w:szCs w:val="20"/>
              </w:rPr>
            </w:pPr>
          </w:p>
        </w:tc>
      </w:tr>
      <w:tr w:rsidR="005B218B" w:rsidRPr="005B218B" w14:paraId="4CEC12B0" w14:textId="77777777" w:rsidTr="005B218B">
        <w:trPr>
          <w:tblCellSpacing w:w="10" w:type="dxa"/>
        </w:trPr>
        <w:tc>
          <w:tcPr>
            <w:tcW w:w="0" w:type="auto"/>
            <w:shd w:val="clear" w:color="auto" w:fill="FFFFFF"/>
            <w:vAlign w:val="center"/>
            <w:hideMark/>
          </w:tcPr>
          <w:p w14:paraId="548AAC78" w14:textId="77777777" w:rsidR="005B218B" w:rsidRPr="005B218B" w:rsidRDefault="005B218B" w:rsidP="005B218B">
            <w:pPr>
              <w:widowControl/>
              <w:spacing w:before="100" w:beforeAutospacing="1" w:after="100" w:afterAutospacing="1" w:line="270" w:lineRule="atLeast"/>
              <w:jc w:val="left"/>
              <w:rPr>
                <w:rFonts w:ascii="STHeiti" w:eastAsia="STHeiti" w:hAnsi="STHeiti" w:cs="Times New Roman"/>
                <w:kern w:val="0"/>
                <w:sz w:val="21"/>
                <w:szCs w:val="21"/>
              </w:rPr>
            </w:pPr>
            <w:r w:rsidRPr="005B218B">
              <w:rPr>
                <w:rFonts w:ascii="STHeiti" w:eastAsia="STHeiti" w:hAnsi="STHeiti" w:cs="Times New Roman" w:hint="eastAsia"/>
                <w:kern w:val="0"/>
                <w:sz w:val="21"/>
                <w:szCs w:val="21"/>
              </w:rPr>
              <w:t>各有关企业：</w:t>
            </w:r>
          </w:p>
          <w:p w14:paraId="670759F9"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为贯彻创新驱动发展战略，强化企业技术创新主体地位，引导和支持企业技术创新能力，健全技术创新市场导向机制，规范市级企业技术中心管理，我们根据《国家企业技术中心认定管理办法》（国家发改委2016年第34号令）、《国家企业技术中心认定评价工作指南（试行）》和省委、省政府及市委、市政府有关规定，对原有的市级企业技术中心管理办法进行修订，在此基础上制定《厦门市企业技术中心认定管理办法》，现予发布。</w:t>
            </w:r>
          </w:p>
          <w:p w14:paraId="20139241"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 xml:space="preserve">　　　　　　　　　　　　　　　　　　　　　厦门市经济和信息化局　　厦门市财政局</w:t>
            </w:r>
          </w:p>
          <w:p w14:paraId="29DE9790"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 xml:space="preserve">　　　　　　　　　　　　　　　　　　　　　　　　　　2016年12月26日</w:t>
            </w:r>
          </w:p>
          <w:p w14:paraId="5B6941E2"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（此件主动公开）</w:t>
            </w:r>
          </w:p>
          <w:p w14:paraId="70115B62" w14:textId="77777777" w:rsidR="005B218B" w:rsidRPr="005B218B" w:rsidRDefault="005B218B" w:rsidP="005B218B">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厦门市企业技术中心认定管理办法</w:t>
            </w:r>
          </w:p>
          <w:p w14:paraId="64EBA819" w14:textId="77777777" w:rsidR="005B218B" w:rsidRPr="005B218B" w:rsidRDefault="005B218B" w:rsidP="005B218B">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第一章  总则</w:t>
            </w:r>
          </w:p>
          <w:p w14:paraId="3F9CBDB2"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第一条  为深入实施创新驱动发展战略，进一步强化企业技术创新主体地位，引导和支持企业增强技术创新能力，健全技术创新市场导向机制，规范厦门市企业技术中心管理，依据《国家企业技术中心认定管理办法》（国家发改委2016年第34号令）、《国家</w:t>
            </w:r>
            <w:r w:rsidRPr="005B218B">
              <w:rPr>
                <w:rFonts w:ascii="STHeiti" w:eastAsia="STHeiti" w:hAnsi="STHeiti" w:cs="Times New Roman" w:hint="eastAsia"/>
                <w:kern w:val="0"/>
                <w:sz w:val="21"/>
                <w:szCs w:val="21"/>
              </w:rPr>
              <w:lastRenderedPageBreak/>
              <w:t>企业技术中心认定评价工作指南（试行）》和省委、省政府以及市委、市政府有关规定，特制定本办法。</w:t>
            </w:r>
          </w:p>
          <w:p w14:paraId="7B261DBE"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第二条  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14:paraId="004FF831"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第三条  为推进市级企业技术中心的建设与发展，确立企业技术创新和研发投入的主体地位，对我市主要产业中技术创新能力强、创新机制好、创新绩效显著、引领示范作用大、符合条件的企业技术中心予以认定，并给予相应的政策扶持，以鼓励和引导企业加大技术创新投入，不断提升自主创新能力。</w:t>
            </w:r>
          </w:p>
          <w:p w14:paraId="16F10E26"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第四条  市经信局、市财政局共同负责市级企业技术中心的认定工作。市经信局牵头对企业技术中心建设进行指导与管理，并负责市级企业技术中心认定组织工作和评价工作。</w:t>
            </w:r>
          </w:p>
          <w:p w14:paraId="38B890F0" w14:textId="77777777" w:rsidR="005B218B" w:rsidRPr="005B218B" w:rsidRDefault="005B218B" w:rsidP="005B218B">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第二章  市级企业技术中心认定</w:t>
            </w:r>
          </w:p>
          <w:p w14:paraId="1B9D13D3"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第五条  市级企业技术中心的认定，原则上每年进行一次。企业根据当年市经信局发布的申报通知申报，申报受理截止日期为当年6月30日。</w:t>
            </w:r>
          </w:p>
          <w:p w14:paraId="740E3A06"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第六条  市级企业技术中心应当具备以下基本条件：</w:t>
            </w:r>
          </w:p>
          <w:p w14:paraId="60D4F71B"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（一）企业应在厦门市行政区域内注册，具有独立法人资格，报告期年度主营业务收入在1亿元以上；</w:t>
            </w:r>
          </w:p>
          <w:p w14:paraId="6518BB9F"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（二）企业在行业中具有明显的发展优势和竞争优势，报告期年度企业盈利，报告期年度纳税额在200万元以上；</w:t>
            </w:r>
          </w:p>
          <w:p w14:paraId="00E2A36C"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（三）企业设立技术中心二年以上，组织体系健全，管理制度完善，具有较好的技术创新机制，创新效率和效益显著。</w:t>
            </w:r>
          </w:p>
          <w:p w14:paraId="11A425DA"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（四）企业有较高的研究开发投入，报告期年度研究与试验发展经费（简称研发经费）支出额不低于500万元。企业拥有技术水平高、实践经验丰富的技术带头人，专职研究与试验发展人员数不少于30人；</w:t>
            </w:r>
          </w:p>
          <w:p w14:paraId="614CD7D6"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五）企业具有比较完善的研究、开发、试验条件，报告期年度技术开发仪器设备原值不低于600万元。技术中心应拥有专属空间，专属空间面积应在200平方米以上。技术中心应设有专门账目，计入技术中心账目上的技术开发仪器设备原值60%以上应集中在技术中心的专属空间；</w:t>
            </w:r>
          </w:p>
          <w:p w14:paraId="5C01288F"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企业在申请受理截止日期前三年内，不得存在下列情况：</w:t>
            </w:r>
          </w:p>
          <w:p w14:paraId="337DE931"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（一）因违反海关法及有关法律、行政法规，构成走私行为，</w:t>
            </w:r>
          </w:p>
          <w:p w14:paraId="0067BE38"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受到刑事、行政处罚，或因严重违反海关监管规定受到行政处罚；</w:t>
            </w:r>
          </w:p>
          <w:p w14:paraId="26F90D69"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（二）因违反税收征管法及有关法律、行政法规，构成偷税、</w:t>
            </w:r>
          </w:p>
          <w:p w14:paraId="3B844F49"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骗取出口退税等严重税收违法行为；</w:t>
            </w:r>
          </w:p>
          <w:p w14:paraId="5DE27916"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（三）司法、行政机关认定的其他严重违法失信行为。</w:t>
            </w:r>
          </w:p>
          <w:p w14:paraId="544C2B77"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第七条  市级企业技术中心认定程序：</w:t>
            </w:r>
          </w:p>
          <w:p w14:paraId="092C5258"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一）企业根据本办法及当年市经信局发布的申报通知，在申报截止时间之前报送申报材料（纸质材料一式二份及电子文档）。申报材料主要包括《厦门市企业技术中心申请报告》编写提纲（见附件1）、《厦门市企业技术中心评价材料》及相关报表和证明材料（见附件2）。</w:t>
            </w:r>
          </w:p>
          <w:p w14:paraId="045FB2D8"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（二）对企业申报材料进行初审，对符合基本条件的申报企业，征求市发改委、市国税局、市地税局、厦门海关等部门对申报企业在申请受理截止日期前三年内有关诚信、涉税、通关等方面情况。</w:t>
            </w:r>
          </w:p>
          <w:p w14:paraId="665CB6C6"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（四）委托第三方机构依据《厦门市企业技术中心评价指标体系》（见附件4）对企业申请材料进行专项审计。</w:t>
            </w:r>
          </w:p>
          <w:p w14:paraId="0DDCAD83"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（五）组织专家进行答辩评审。在必要时，抽查企业进行现场考核。</w:t>
            </w:r>
          </w:p>
          <w:p w14:paraId="65F93D6D"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六）市经信局会同市财政局，根据专项审计、专家答辩评审等情况，在此基础上，择优确定市企业技术中心拟认定名单。市经信局在官方网站将拟认定名单向社会公示7天。公示期满无异议或者异议不成立的，由市经信局会同市财政局等联合发文通报市企业技术中心认定结果。市级企业技术中心认定结果自受理企业申请截止日期之日起，90个工作日之内公布。</w:t>
            </w:r>
          </w:p>
          <w:p w14:paraId="25B65956" w14:textId="77777777" w:rsidR="005B218B" w:rsidRPr="005B218B" w:rsidRDefault="005B218B" w:rsidP="005B218B">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第三章  运行评价</w:t>
            </w:r>
          </w:p>
          <w:p w14:paraId="5F8E10CE"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第八条  对已认定的市级企业技术中心，原则上每两年进行一次评价。</w:t>
            </w:r>
          </w:p>
          <w:p w14:paraId="6827A37F"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第九条  评价程序：</w:t>
            </w:r>
          </w:p>
          <w:p w14:paraId="53B83838"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一）已认定的市级企业技术中心应于评价当年的5月30日前将评价材料报送市经信局。评价材料包括：《厦门市企业技术中心工作总结》（见附件3）和《厦门市企业技术中心评价材料》及相关报表和证明材料（见附件2）。</w:t>
            </w:r>
          </w:p>
          <w:p w14:paraId="5D51AA90"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（二）征求市发改委、市国税局、市地税局、厦门海关等部门对评价企业在两年内（即报告年度、报告年度前一年度）有关诚信、涉税、通关等方面情况。</w:t>
            </w:r>
          </w:p>
          <w:p w14:paraId="21093792"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（三）市经信局组织专家评审。</w:t>
            </w:r>
          </w:p>
          <w:p w14:paraId="79A5AD09"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四）市经信局会同市财政局对市有关部门反馈的意见以及专家评审结果进行审核，确定评价结果，并通报相关部门和企业。市级企业技术中心评价结果自受理企业评价材料截止日期之日起，70个工作日之内公布。</w:t>
            </w:r>
          </w:p>
          <w:p w14:paraId="63EC19AB"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第十条  评价结果分为优秀、良好、基本合格和不合格：</w:t>
            </w:r>
          </w:p>
          <w:p w14:paraId="73A1A86F"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（一）评价得分90分及以上为优秀；</w:t>
            </w:r>
          </w:p>
          <w:p w14:paraId="1BC79912"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（二）评价得分65分至90分（不含90分）为良好；</w:t>
            </w:r>
          </w:p>
          <w:p w14:paraId="53480CFF"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（三）评价得分60分至65分（不含65分）为基本合格；</w:t>
            </w:r>
          </w:p>
          <w:p w14:paraId="0E277B17"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（四）评价得分低于60分为不合格。</w:t>
            </w:r>
          </w:p>
          <w:p w14:paraId="1BA9DCC7"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第十一条  市级以上企业技术中心应按照国家发改委、省经信委的要求，在规定的时间内上报年度、半年度企业技术创新工作快报。</w:t>
            </w:r>
          </w:p>
          <w:p w14:paraId="5E877357" w14:textId="77777777" w:rsidR="005B218B" w:rsidRPr="005B218B" w:rsidRDefault="005B218B" w:rsidP="005B218B">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第四章  监督管理</w:t>
            </w:r>
          </w:p>
          <w:p w14:paraId="0D60C187"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第十二条  市级以上企业技术中心应于每年7月30日前，将企业技术中心所在企业发生更名、重组等变更情况报送市经信局，市经信局将对企业报送的变更情况进行确认。属于国家级、省级企业技术中心的，将由市经信局分别转报国家发改委、省经信委。</w:t>
            </w:r>
          </w:p>
          <w:p w14:paraId="53ED0141"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第十三条  有下列情况之一的，撤销市级企业技术中心资格：</w:t>
            </w:r>
          </w:p>
          <w:p w14:paraId="4655F0B5"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（一）运行评价不合格；</w:t>
            </w:r>
          </w:p>
          <w:p w14:paraId="6A001E47"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（二）逾期未报送评价材料；</w:t>
            </w:r>
          </w:p>
          <w:p w14:paraId="2196716C"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（三）提供虚假材料和数据；</w:t>
            </w:r>
          </w:p>
          <w:p w14:paraId="2389F7BB"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（四）主要由于技术原因发生重大质量、安全事故；</w:t>
            </w:r>
          </w:p>
          <w:p w14:paraId="7EF17CF3"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（五）因违反海关法及有关法律、行政法规，构成走私行为，受到刑事、行政处罚，或因严重违反海关监管规定受到行政处罚；</w:t>
            </w:r>
          </w:p>
          <w:p w14:paraId="11536314"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（六）因违反税收征管法及有关法律、行政法规，构成偷税、骗取出口退税等严重税收违法行为；</w:t>
            </w:r>
          </w:p>
          <w:p w14:paraId="470C9FDA"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（七）司法、行政机关认定的其他严重违法失信行为；</w:t>
            </w:r>
          </w:p>
          <w:p w14:paraId="4A5D40C4"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（八）企业被依法终止。</w:t>
            </w:r>
          </w:p>
          <w:p w14:paraId="768A7F7C"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第十四条  因本办法第十三条第（一）、（二）项所列原因被撤销市企业技术中心资格的，自撤销之日起，企业两年内不得再次申报市级企业技术中心认定。</w:t>
            </w:r>
          </w:p>
          <w:p w14:paraId="3A49A18C"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因本办法第十三条第（三）-（七）项所列原因被撤销企业技术中心资格的，自撤销之日起，企业三年内不得再次申报市级企业技术中心认定。</w:t>
            </w:r>
          </w:p>
          <w:p w14:paraId="35C7481C"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第十六条  市经信局每年公布企业技术中心认定、调整、撤销和更名结果。</w:t>
            </w:r>
          </w:p>
          <w:p w14:paraId="39262241" w14:textId="77777777" w:rsidR="005B218B" w:rsidRPr="005B218B" w:rsidRDefault="005B218B" w:rsidP="005B218B">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第五章  鼓励政策</w:t>
            </w:r>
          </w:p>
          <w:p w14:paraId="06FCE76A"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第十七条  对认定为省、市级企业技术中心的，给予中心所在企业一次性研发经费资助100万元；对于认定为国家级企业技术中心的，给予中心所在企业一次性研发经费资助500万元（含省、市级企业技术中心已获得资助金额）。</w:t>
            </w:r>
          </w:p>
          <w:p w14:paraId="2F469225"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对评价结果为优良的市级以上企业技术中心所在企业申报市有关扶持产业发展专项资金项目，经专家评审后，同等条件下优先立项支持。</w:t>
            </w:r>
          </w:p>
          <w:p w14:paraId="4161579A"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经国家发改委运行评价，评价结果为优良的国家级企业技术中心，按照《福建省人民政府办公厅关于加快高水平科技研发创新平台建设六条措施的通知》（闽政办〔2016〕19号），给予30万元研发经费补助。</w:t>
            </w:r>
          </w:p>
          <w:p w14:paraId="4E6A97B2"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同一级别的多种类型研发机构只能享受一次无偿研发经费资助。</w:t>
            </w:r>
          </w:p>
          <w:p w14:paraId="6A4A5EF4" w14:textId="77777777" w:rsidR="005B218B" w:rsidRPr="005B218B" w:rsidRDefault="005B218B" w:rsidP="005B218B">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第六章  附  则</w:t>
            </w:r>
          </w:p>
          <w:p w14:paraId="4229A7EF"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第十八条  负责企业技术中心认定、评价、审核、管理的工作人违反本办法的规定，滥用职权、玩忽职守、徇私舞弊的，按照《厦门市行政过错责任追究办法》的规定追究行政责任；涉嫌犯罪的，依法移交司法机关处理。</w:t>
            </w:r>
          </w:p>
          <w:p w14:paraId="531C47E0"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第十九条  本办法由市经信局、市财政局负责解释。</w:t>
            </w:r>
          </w:p>
          <w:p w14:paraId="7EFE4439"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第二十条  本办法自2017年1月1日起施行，有效期5年。《厦门市认定企业技术中心管理办法》（厦经技［2009］8号）同时废止。</w:t>
            </w:r>
          </w:p>
          <w:p w14:paraId="7B8C3577" w14:textId="77777777" w:rsidR="005B218B" w:rsidRPr="005B218B" w:rsidRDefault="005B218B" w:rsidP="005B218B">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5B218B">
              <w:rPr>
                <w:rFonts w:ascii="STHeiti" w:eastAsia="STHeiti" w:hAnsi="STHeiti" w:cs="Times New Roman" w:hint="eastAsia"/>
                <w:kern w:val="0"/>
                <w:sz w:val="21"/>
                <w:szCs w:val="21"/>
              </w:rPr>
              <w:t>厦门市经济和信息化局　　　　2016年12月28日印发</w:t>
            </w:r>
          </w:p>
        </w:tc>
      </w:tr>
      <w:tr w:rsidR="005B218B" w:rsidRPr="005B218B" w14:paraId="65D54E5D" w14:textId="77777777" w:rsidTr="005B218B">
        <w:trPr>
          <w:trHeight w:val="700"/>
          <w:tblCellSpacing w:w="10" w:type="dxa"/>
        </w:trPr>
        <w:tc>
          <w:tcPr>
            <w:tcW w:w="0" w:type="auto"/>
            <w:shd w:val="clear" w:color="auto" w:fill="FFFFFF"/>
            <w:vAlign w:val="center"/>
            <w:hideMark/>
          </w:tcPr>
          <w:p w14:paraId="1795B88A" w14:textId="77777777" w:rsidR="005B218B" w:rsidRPr="005B218B" w:rsidRDefault="005B218B" w:rsidP="005B218B">
            <w:pPr>
              <w:widowControl/>
              <w:jc w:val="left"/>
              <w:rPr>
                <w:rFonts w:ascii="STHeiti" w:eastAsia="STHeiti" w:hAnsi="STHeiti" w:cs="Times New Roman" w:hint="eastAsia"/>
                <w:kern w:val="0"/>
                <w:sz w:val="21"/>
                <w:szCs w:val="21"/>
              </w:rPr>
            </w:pPr>
          </w:p>
        </w:tc>
      </w:tr>
      <w:tr w:rsidR="005B218B" w:rsidRPr="005B218B" w14:paraId="032B26E8" w14:textId="77777777" w:rsidTr="005B218B">
        <w:trPr>
          <w:tblCellSpacing w:w="1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3089"/>
            </w:tblGrid>
            <w:tr w:rsidR="005B218B" w:rsidRPr="005B218B" w14:paraId="0F5B8813" w14:textId="77777777">
              <w:trPr>
                <w:tblCellSpacing w:w="0" w:type="dxa"/>
              </w:trPr>
              <w:tc>
                <w:tcPr>
                  <w:tcW w:w="0" w:type="auto"/>
                  <w:vAlign w:val="center"/>
                  <w:hideMark/>
                </w:tcPr>
                <w:p w14:paraId="432C2385" w14:textId="77777777" w:rsidR="005B218B" w:rsidRPr="005B218B" w:rsidRDefault="005B218B" w:rsidP="005B218B">
                  <w:pPr>
                    <w:widowControl/>
                    <w:jc w:val="left"/>
                    <w:rPr>
                      <w:rFonts w:ascii="Times New Roman" w:eastAsia="Times New Roman" w:hAnsi="Times New Roman" w:cs="Times New Roman"/>
                      <w:kern w:val="0"/>
                      <w:sz w:val="18"/>
                      <w:szCs w:val="18"/>
                    </w:rPr>
                  </w:pPr>
                  <w:r w:rsidRPr="005B218B">
                    <w:rPr>
                      <w:rFonts w:ascii="MS Mincho" w:eastAsia="MS Mincho" w:hAnsi="MS Mincho" w:cs="MS Mincho"/>
                      <w:kern w:val="0"/>
                      <w:sz w:val="18"/>
                      <w:szCs w:val="18"/>
                    </w:rPr>
                    <w:t>附件下</w:t>
                  </w:r>
                  <w:r w:rsidRPr="005B218B">
                    <w:rPr>
                      <w:rFonts w:ascii="SimSun" w:eastAsia="SimSun" w:hAnsi="SimSun" w:cs="SimSun"/>
                      <w:kern w:val="0"/>
                      <w:sz w:val="18"/>
                      <w:szCs w:val="18"/>
                    </w:rPr>
                    <w:t>载</w:t>
                  </w:r>
                  <w:r w:rsidRPr="005B218B">
                    <w:rPr>
                      <w:rFonts w:ascii="Times New Roman" w:eastAsia="Times New Roman" w:hAnsi="Times New Roman" w:cs="Times New Roman"/>
                      <w:kern w:val="0"/>
                      <w:sz w:val="18"/>
                      <w:szCs w:val="18"/>
                    </w:rPr>
                    <w:t>:</w:t>
                  </w:r>
                </w:p>
              </w:tc>
            </w:tr>
            <w:tr w:rsidR="005B218B" w:rsidRPr="005B218B" w14:paraId="54BF3F82" w14:textId="77777777">
              <w:trPr>
                <w:tblCellSpacing w:w="0" w:type="dxa"/>
              </w:trPr>
              <w:tc>
                <w:tcPr>
                  <w:tcW w:w="0" w:type="auto"/>
                  <w:vAlign w:val="center"/>
                  <w:hideMark/>
                </w:tcPr>
                <w:p w14:paraId="458003D0" w14:textId="77777777" w:rsidR="005B218B" w:rsidRPr="005B218B" w:rsidRDefault="005B218B" w:rsidP="005B218B">
                  <w:pPr>
                    <w:widowControl/>
                    <w:jc w:val="left"/>
                    <w:rPr>
                      <w:rFonts w:ascii="Times New Roman" w:eastAsia="Times New Roman" w:hAnsi="Times New Roman" w:cs="Times New Roman"/>
                      <w:kern w:val="0"/>
                      <w:sz w:val="18"/>
                      <w:szCs w:val="18"/>
                    </w:rPr>
                  </w:pPr>
                  <w:r w:rsidRPr="005B218B">
                    <w:rPr>
                      <w:rFonts w:ascii="Times New Roman" w:eastAsia="Times New Roman" w:hAnsi="Times New Roman" w:cs="Times New Roman"/>
                      <w:kern w:val="0"/>
                      <w:sz w:val="18"/>
                      <w:szCs w:val="18"/>
                    </w:rPr>
                    <w:t>  </w:t>
                  </w:r>
                </w:p>
                <w:p w14:paraId="5B1F2445" w14:textId="77777777" w:rsidR="005B218B" w:rsidRPr="005B218B" w:rsidRDefault="005B218B" w:rsidP="005B218B">
                  <w:pPr>
                    <w:widowControl/>
                    <w:jc w:val="left"/>
                    <w:rPr>
                      <w:rFonts w:ascii="Times New Roman" w:eastAsia="Times New Roman" w:hAnsi="Times New Roman" w:cs="Times New Roman"/>
                      <w:kern w:val="0"/>
                      <w:sz w:val="18"/>
                      <w:szCs w:val="18"/>
                    </w:rPr>
                  </w:pPr>
                  <w:r w:rsidRPr="005B218B">
                    <w:rPr>
                      <w:rFonts w:ascii="Times New Roman" w:eastAsia="Times New Roman" w:hAnsi="Symbol" w:cs="Times New Roman"/>
                      <w:kern w:val="0"/>
                      <w:sz w:val="18"/>
                      <w:szCs w:val="18"/>
                    </w:rPr>
                    <w:t></w:t>
                  </w:r>
                  <w:r w:rsidRPr="005B218B">
                    <w:rPr>
                      <w:rFonts w:ascii="Times New Roman" w:eastAsia="Times New Roman" w:hAnsi="Times New Roman" w:cs="Times New Roman"/>
                      <w:kern w:val="0"/>
                      <w:sz w:val="18"/>
                      <w:szCs w:val="18"/>
                    </w:rPr>
                    <w:t xml:space="preserve">  </w:t>
                  </w:r>
                  <w:hyperlink r:id="rId4" w:history="1">
                    <w:r w:rsidRPr="005B218B">
                      <w:rPr>
                        <w:rFonts w:ascii="MS Mincho" w:eastAsia="MS Mincho" w:hAnsi="MS Mincho" w:cs="MS Mincho"/>
                        <w:color w:val="242424"/>
                        <w:kern w:val="0"/>
                        <w:sz w:val="18"/>
                        <w:szCs w:val="18"/>
                      </w:rPr>
                      <w:t>厦</w:t>
                    </w:r>
                    <w:r w:rsidRPr="005B218B">
                      <w:rPr>
                        <w:rFonts w:ascii="SimSun" w:eastAsia="SimSun" w:hAnsi="SimSun" w:cs="SimSun"/>
                        <w:color w:val="242424"/>
                        <w:kern w:val="0"/>
                        <w:sz w:val="18"/>
                        <w:szCs w:val="18"/>
                      </w:rPr>
                      <w:t>经</w:t>
                    </w:r>
                    <w:r w:rsidRPr="005B218B">
                      <w:rPr>
                        <w:rFonts w:ascii="MS Mincho" w:eastAsia="MS Mincho" w:hAnsi="MS Mincho" w:cs="MS Mincho"/>
                        <w:color w:val="242424"/>
                        <w:kern w:val="0"/>
                        <w:sz w:val="18"/>
                        <w:szCs w:val="18"/>
                      </w:rPr>
                      <w:t>信技</w:t>
                    </w:r>
                    <w:r w:rsidRPr="005B218B">
                      <w:rPr>
                        <w:rFonts w:ascii="SimSun" w:eastAsia="SimSun" w:hAnsi="SimSun" w:cs="SimSun"/>
                        <w:color w:val="242424"/>
                        <w:kern w:val="0"/>
                        <w:sz w:val="18"/>
                        <w:szCs w:val="18"/>
                      </w:rPr>
                      <w:t>术</w:t>
                    </w:r>
                    <w:r w:rsidRPr="005B218B">
                      <w:rPr>
                        <w:rFonts w:ascii="MS Mincho" w:eastAsia="MS Mincho" w:hAnsi="MS Mincho" w:cs="MS Mincho"/>
                        <w:color w:val="242424"/>
                        <w:kern w:val="0"/>
                        <w:sz w:val="18"/>
                        <w:szCs w:val="18"/>
                      </w:rPr>
                      <w:t>〔</w:t>
                    </w:r>
                    <w:r w:rsidRPr="005B218B">
                      <w:rPr>
                        <w:rFonts w:ascii="Times New Roman" w:eastAsia="Times New Roman" w:hAnsi="Times New Roman" w:cs="Times New Roman"/>
                        <w:color w:val="242424"/>
                        <w:kern w:val="0"/>
                        <w:sz w:val="18"/>
                        <w:szCs w:val="18"/>
                      </w:rPr>
                      <w:t>2016</w:t>
                    </w:r>
                    <w:r w:rsidRPr="005B218B">
                      <w:rPr>
                        <w:rFonts w:ascii="MS Mincho" w:eastAsia="MS Mincho" w:hAnsi="MS Mincho" w:cs="MS Mincho"/>
                        <w:color w:val="242424"/>
                        <w:kern w:val="0"/>
                        <w:sz w:val="18"/>
                        <w:szCs w:val="18"/>
                      </w:rPr>
                      <w:t>〕</w:t>
                    </w:r>
                    <w:r w:rsidRPr="005B218B">
                      <w:rPr>
                        <w:rFonts w:ascii="Times New Roman" w:eastAsia="Times New Roman" w:hAnsi="Times New Roman" w:cs="Times New Roman"/>
                        <w:color w:val="242424"/>
                        <w:kern w:val="0"/>
                        <w:sz w:val="18"/>
                        <w:szCs w:val="18"/>
                      </w:rPr>
                      <w:t>487</w:t>
                    </w:r>
                    <w:r w:rsidRPr="005B218B">
                      <w:rPr>
                        <w:rFonts w:ascii="MS Mincho" w:eastAsia="MS Mincho" w:hAnsi="MS Mincho" w:cs="MS Mincho"/>
                        <w:color w:val="242424"/>
                        <w:kern w:val="0"/>
                        <w:sz w:val="18"/>
                        <w:szCs w:val="18"/>
                      </w:rPr>
                      <w:t>号附件</w:t>
                    </w:r>
                    <w:r w:rsidRPr="005B218B">
                      <w:rPr>
                        <w:rFonts w:ascii="Times New Roman" w:eastAsia="Times New Roman" w:hAnsi="Times New Roman" w:cs="Times New Roman"/>
                        <w:color w:val="242424"/>
                        <w:kern w:val="0"/>
                        <w:sz w:val="18"/>
                        <w:szCs w:val="18"/>
                      </w:rPr>
                      <w:t>.docx</w:t>
                    </w:r>
                  </w:hyperlink>
                </w:p>
              </w:tc>
            </w:tr>
          </w:tbl>
          <w:p w14:paraId="47F45344" w14:textId="77777777" w:rsidR="005B218B" w:rsidRPr="005B218B" w:rsidRDefault="005B218B" w:rsidP="005B218B">
            <w:pPr>
              <w:widowControl/>
              <w:jc w:val="left"/>
              <w:rPr>
                <w:rFonts w:ascii="STHeiti" w:eastAsia="STHeiti" w:hAnsi="STHeiti" w:cs="Times New Roman"/>
                <w:kern w:val="0"/>
                <w:sz w:val="18"/>
                <w:szCs w:val="18"/>
              </w:rPr>
            </w:pPr>
          </w:p>
        </w:tc>
      </w:tr>
    </w:tbl>
    <w:p w14:paraId="29804589" w14:textId="77777777" w:rsidR="00B87A50" w:rsidRPr="005B218B" w:rsidRDefault="00B87A50">
      <w:bookmarkStart w:id="0" w:name="_GoBack"/>
      <w:bookmarkEnd w:id="0"/>
    </w:p>
    <w:sectPr w:rsidR="00B87A50" w:rsidRPr="005B218B"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STHeiti">
    <w:panose1 w:val="02010600040101010101"/>
    <w:charset w:val="86"/>
    <w:family w:val="auto"/>
    <w:pitch w:val="variable"/>
    <w:sig w:usb0="00000287" w:usb1="080F0000" w:usb2="00000010" w:usb3="00000000" w:csb0="000400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8B"/>
    <w:rsid w:val="005B218B"/>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7C343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218B"/>
    <w:rPr>
      <w:b/>
      <w:bCs/>
    </w:rPr>
  </w:style>
  <w:style w:type="paragraph" w:styleId="a4">
    <w:name w:val="Normal (Web)"/>
    <w:basedOn w:val="a"/>
    <w:uiPriority w:val="99"/>
    <w:semiHidden/>
    <w:unhideWhenUsed/>
    <w:rsid w:val="005B218B"/>
    <w:pPr>
      <w:widowControl/>
      <w:spacing w:before="100" w:beforeAutospacing="1" w:after="100" w:afterAutospacing="1"/>
      <w:jc w:val="left"/>
    </w:pPr>
    <w:rPr>
      <w:rFonts w:ascii="Times New Roman" w:hAnsi="Times New Roman" w:cs="Times New Roman"/>
      <w:kern w:val="0"/>
    </w:rPr>
  </w:style>
  <w:style w:type="character" w:styleId="a5">
    <w:name w:val="Hyperlink"/>
    <w:basedOn w:val="a0"/>
    <w:uiPriority w:val="99"/>
    <w:semiHidden/>
    <w:unhideWhenUsed/>
    <w:rsid w:val="005B2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57611">
      <w:bodyDiv w:val="1"/>
      <w:marLeft w:val="0"/>
      <w:marRight w:val="0"/>
      <w:marTop w:val="0"/>
      <w:marBottom w:val="0"/>
      <w:divBdr>
        <w:top w:val="none" w:sz="0" w:space="0" w:color="auto"/>
        <w:left w:val="none" w:sz="0" w:space="0" w:color="auto"/>
        <w:bottom w:val="none" w:sz="0" w:space="0" w:color="auto"/>
        <w:right w:val="none" w:sz="0" w:space="0" w:color="auto"/>
      </w:divBdr>
      <w:divsChild>
        <w:div w:id="1749183336">
          <w:marLeft w:val="0"/>
          <w:marRight w:val="0"/>
          <w:marTop w:val="0"/>
          <w:marBottom w:val="0"/>
          <w:divBdr>
            <w:top w:val="none" w:sz="0" w:space="0" w:color="auto"/>
            <w:left w:val="none" w:sz="0" w:space="0" w:color="auto"/>
            <w:bottom w:val="none" w:sz="0" w:space="0" w:color="auto"/>
            <w:right w:val="none" w:sz="0" w:space="0" w:color="auto"/>
          </w:divBdr>
        </w:div>
        <w:div w:id="1062797377">
          <w:marLeft w:val="0"/>
          <w:marRight w:val="0"/>
          <w:marTop w:val="0"/>
          <w:marBottom w:val="0"/>
          <w:divBdr>
            <w:top w:val="none" w:sz="0" w:space="0" w:color="auto"/>
            <w:left w:val="none" w:sz="0" w:space="0" w:color="auto"/>
            <w:bottom w:val="none" w:sz="0" w:space="0" w:color="auto"/>
            <w:right w:val="none" w:sz="0" w:space="0" w:color="auto"/>
          </w:divBdr>
          <w:divsChild>
            <w:div w:id="1291208654">
              <w:marLeft w:val="0"/>
              <w:marRight w:val="0"/>
              <w:marTop w:val="0"/>
              <w:marBottom w:val="0"/>
              <w:divBdr>
                <w:top w:val="none" w:sz="0" w:space="0" w:color="auto"/>
                <w:left w:val="none" w:sz="0" w:space="0" w:color="auto"/>
                <w:bottom w:val="none" w:sz="0" w:space="0" w:color="auto"/>
                <w:right w:val="none" w:sz="0" w:space="0" w:color="auto"/>
              </w:divBdr>
              <w:divsChild>
                <w:div w:id="2236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xm.gov.cn/gfxwj/szfbm/jjfzj/201701/P020170105390823517667.doc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3236</Characters>
  <Application>Microsoft Macintosh Word</Application>
  <DocSecurity>0</DocSecurity>
  <Lines>26</Lines>
  <Paragraphs>7</Paragraphs>
  <ScaleCrop>false</ScaleCrop>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2018-06-10T14:44:00Z</dcterms:created>
  <dcterms:modified xsi:type="dcterms:W3CDTF">2018-06-10T14:44:00Z</dcterms:modified>
</cp:coreProperties>
</file>