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0F0" w:rsidRPr="00B350F0" w:rsidRDefault="00B350F0" w:rsidP="00B350F0">
      <w:pPr>
        <w:widowControl/>
        <w:jc w:val="center"/>
        <w:rPr>
          <w:rFonts w:ascii="微软雅黑" w:eastAsia="微软雅黑" w:hAnsi="微软雅黑" w:cs="宋体"/>
          <w:color w:val="000000"/>
          <w:kern w:val="0"/>
          <w:sz w:val="18"/>
          <w:szCs w:val="18"/>
        </w:rPr>
      </w:pPr>
      <w:r w:rsidRPr="00B350F0">
        <w:rPr>
          <w:rFonts w:ascii="黑体" w:eastAsia="黑体" w:hAnsi="黑体" w:cs="宋体" w:hint="eastAsia"/>
          <w:b/>
          <w:bCs/>
          <w:color w:val="FF0000"/>
          <w:kern w:val="0"/>
          <w:sz w:val="36"/>
          <w:szCs w:val="36"/>
        </w:rPr>
        <w:t>海口市科学技术工业信息化局关于印发《</w:t>
      </w:r>
      <w:bookmarkStart w:id="0" w:name="_GoBack"/>
      <w:r w:rsidRPr="00B350F0">
        <w:rPr>
          <w:rFonts w:ascii="黑体" w:eastAsia="黑体" w:hAnsi="黑体" w:cs="宋体" w:hint="eastAsia"/>
          <w:b/>
          <w:bCs/>
          <w:color w:val="FF0000"/>
          <w:kern w:val="0"/>
          <w:sz w:val="36"/>
          <w:szCs w:val="36"/>
        </w:rPr>
        <w:t>海口市重点实验室认定管理办法</w:t>
      </w:r>
      <w:bookmarkEnd w:id="0"/>
      <w:r w:rsidRPr="00B350F0">
        <w:rPr>
          <w:rFonts w:ascii="黑体" w:eastAsia="黑体" w:hAnsi="黑体" w:cs="宋体" w:hint="eastAsia"/>
          <w:b/>
          <w:bCs/>
          <w:color w:val="FF0000"/>
          <w:kern w:val="0"/>
          <w:sz w:val="36"/>
          <w:szCs w:val="36"/>
        </w:rPr>
        <w:t>》的通知</w:t>
      </w:r>
      <w:r w:rsidRPr="00B350F0">
        <w:rPr>
          <w:rFonts w:ascii="Calibri" w:eastAsia="黑体" w:hAnsi="Calibri" w:cs="Calibri"/>
          <w:b/>
          <w:bCs/>
          <w:color w:val="FF0000"/>
          <w:kern w:val="0"/>
          <w:sz w:val="36"/>
          <w:szCs w:val="36"/>
        </w:rPr>
        <w:t> </w:t>
      </w:r>
    </w:p>
    <w:p w:rsidR="00B350F0" w:rsidRPr="00B350F0" w:rsidRDefault="00B350F0" w:rsidP="00B350F0">
      <w:pPr>
        <w:widowControl/>
        <w:spacing w:line="408" w:lineRule="atLeast"/>
        <w:jc w:val="left"/>
        <w:rPr>
          <w:rFonts w:ascii="微软雅黑" w:eastAsia="微软雅黑" w:hAnsi="微软雅黑" w:cs="宋体" w:hint="eastAsia"/>
          <w:color w:val="000000"/>
          <w:kern w:val="0"/>
          <w:sz w:val="24"/>
          <w:szCs w:val="24"/>
        </w:rPr>
      </w:pPr>
      <w:r w:rsidRPr="00B350F0">
        <w:rPr>
          <w:rFonts w:ascii="微软雅黑" w:eastAsia="微软雅黑" w:hAnsi="微软雅黑" w:cs="宋体" w:hint="eastAsia"/>
          <w:color w:val="000000"/>
          <w:kern w:val="0"/>
          <w:sz w:val="24"/>
          <w:szCs w:val="24"/>
        </w:rPr>
        <w:t>各有关单位: </w:t>
      </w:r>
      <w:r w:rsidRPr="00B350F0">
        <w:rPr>
          <w:rFonts w:ascii="微软雅黑" w:eastAsia="微软雅黑" w:hAnsi="微软雅黑" w:cs="宋体" w:hint="eastAsia"/>
          <w:color w:val="000000"/>
          <w:kern w:val="0"/>
          <w:sz w:val="24"/>
          <w:szCs w:val="24"/>
        </w:rPr>
        <w:br/>
        <w:t>    为加快我市科技基础条件建设,适应我市科技发展需要,优化我市实验室的综合管理,推动实验基础设施这一科技资源的共享,保证实验室建设目标的顺利实现,对《海口市重点实验室认定管理办法》进行修订,并经局务会同意,现予以印发,请贯彻执行,原《海口市重点实验室认定管理办法》同时废止。 </w:t>
      </w:r>
      <w:r w:rsidRPr="00B350F0">
        <w:rPr>
          <w:rFonts w:ascii="微软雅黑" w:eastAsia="微软雅黑" w:hAnsi="微软雅黑" w:cs="宋体" w:hint="eastAsia"/>
          <w:color w:val="000000"/>
          <w:kern w:val="0"/>
          <w:sz w:val="24"/>
          <w:szCs w:val="24"/>
        </w:rPr>
        <w:br/>
        <w:t>     海口市科学技术工业信息化局 </w:t>
      </w:r>
      <w:r w:rsidRPr="00B350F0">
        <w:rPr>
          <w:rFonts w:ascii="微软雅黑" w:eastAsia="微软雅黑" w:hAnsi="微软雅黑" w:cs="宋体" w:hint="eastAsia"/>
          <w:color w:val="000000"/>
          <w:kern w:val="0"/>
          <w:sz w:val="24"/>
          <w:szCs w:val="24"/>
        </w:rPr>
        <w:br/>
        <w:t>    2018年7月23日 </w:t>
      </w:r>
      <w:r w:rsidRPr="00B350F0">
        <w:rPr>
          <w:rFonts w:ascii="微软雅黑" w:eastAsia="微软雅黑" w:hAnsi="微软雅黑" w:cs="宋体" w:hint="eastAsia"/>
          <w:color w:val="000000"/>
          <w:kern w:val="0"/>
          <w:sz w:val="24"/>
          <w:szCs w:val="24"/>
        </w:rPr>
        <w:br/>
        <w:t>    (此件主动公开) </w:t>
      </w:r>
      <w:r w:rsidRPr="00B350F0">
        <w:rPr>
          <w:rFonts w:ascii="微软雅黑" w:eastAsia="微软雅黑" w:hAnsi="微软雅黑" w:cs="宋体" w:hint="eastAsia"/>
          <w:color w:val="000000"/>
          <w:kern w:val="0"/>
          <w:sz w:val="24"/>
          <w:szCs w:val="24"/>
        </w:rPr>
        <w:br/>
        <w:t>    海口市重点实验室认定管理办法 </w:t>
      </w:r>
      <w:r w:rsidRPr="00B350F0">
        <w:rPr>
          <w:rFonts w:ascii="微软雅黑" w:eastAsia="微软雅黑" w:hAnsi="微软雅黑" w:cs="宋体" w:hint="eastAsia"/>
          <w:color w:val="000000"/>
          <w:kern w:val="0"/>
          <w:sz w:val="24"/>
          <w:szCs w:val="24"/>
        </w:rPr>
        <w:br/>
        <w:t>    第一章总则 </w:t>
      </w:r>
      <w:r w:rsidRPr="00B350F0">
        <w:rPr>
          <w:rFonts w:ascii="微软雅黑" w:eastAsia="微软雅黑" w:hAnsi="微软雅黑" w:cs="宋体" w:hint="eastAsia"/>
          <w:color w:val="000000"/>
          <w:kern w:val="0"/>
          <w:sz w:val="24"/>
          <w:szCs w:val="24"/>
        </w:rPr>
        <w:br/>
        <w:t>    第一条为深入实施创新驱动发展战略,规范和加强海口市重点实验室(以下简称“重点实验室”)的建设和运行管理,推动实验基础设施这一科技资源的共享,根据《国家重点实验室建设与运行管理办法》(国科发基〔2008〕539号)、《海南省重点实验室管理办法》(琼科〔2018〕21号)等有关规定,结合我市实际,制定本办法。 </w:t>
      </w:r>
      <w:r w:rsidRPr="00B350F0">
        <w:rPr>
          <w:rFonts w:ascii="微软雅黑" w:eastAsia="微软雅黑" w:hAnsi="微软雅黑" w:cs="宋体" w:hint="eastAsia"/>
          <w:color w:val="000000"/>
          <w:kern w:val="0"/>
          <w:sz w:val="24"/>
          <w:szCs w:val="24"/>
        </w:rPr>
        <w:br/>
        <w:t>    第二条重点实验室是我市科技创新体系的重要组成部分,是我市组织科学研究和技术创新、聚集和培养优秀科技人才、开展技术交流的重要基地。 </w:t>
      </w:r>
      <w:r w:rsidRPr="00B350F0">
        <w:rPr>
          <w:rFonts w:ascii="微软雅黑" w:eastAsia="微软雅黑" w:hAnsi="微软雅黑" w:cs="宋体" w:hint="eastAsia"/>
          <w:color w:val="000000"/>
          <w:kern w:val="0"/>
          <w:sz w:val="24"/>
          <w:szCs w:val="24"/>
        </w:rPr>
        <w:br/>
        <w:t>    第三条重点实验室的主要任务是根据我市科技发展规划,围绕我市科技发展目标,跟踪国内外科技发展前沿技术,针对国民经济和社会发展的重大科技问题,开展创新性研究,获取自主创新科研成果和自主知识产权。 </w:t>
      </w:r>
      <w:r w:rsidRPr="00B350F0">
        <w:rPr>
          <w:rFonts w:ascii="微软雅黑" w:eastAsia="微软雅黑" w:hAnsi="微软雅黑" w:cs="宋体" w:hint="eastAsia"/>
          <w:color w:val="000000"/>
          <w:kern w:val="0"/>
          <w:sz w:val="24"/>
          <w:szCs w:val="24"/>
        </w:rPr>
        <w:br/>
      </w:r>
      <w:r w:rsidRPr="00B350F0">
        <w:rPr>
          <w:rFonts w:ascii="微软雅黑" w:eastAsia="微软雅黑" w:hAnsi="微软雅黑" w:cs="宋体" w:hint="eastAsia"/>
          <w:color w:val="000000"/>
          <w:kern w:val="0"/>
          <w:sz w:val="24"/>
          <w:szCs w:val="24"/>
        </w:rPr>
        <w:lastRenderedPageBreak/>
        <w:t>    第四条重点实验室是依托高校、科研院所、大型企业和其他具有较强自主创新能力的机构建设的科研实体。具有相对独立的人事权和财务权。 </w:t>
      </w:r>
      <w:r w:rsidRPr="00B350F0">
        <w:rPr>
          <w:rFonts w:ascii="微软雅黑" w:eastAsia="微软雅黑" w:hAnsi="微软雅黑" w:cs="宋体" w:hint="eastAsia"/>
          <w:color w:val="000000"/>
          <w:kern w:val="0"/>
          <w:sz w:val="24"/>
          <w:szCs w:val="24"/>
        </w:rPr>
        <w:br/>
        <w:t>    第五条重点实验室按照“合理布局、突出重点、强化创新、择优扶持”的原则,围绕我市支柱产业、重点行业、相对优势的学术和技术领域进行重点建设。旨在提高我市科技自主创新能力,改善科研条件,增强科技综合实力,培养并吸引一批高水平、高层次的科技人才,促进我市区域科技创新体系建设。 </w:t>
      </w:r>
      <w:r w:rsidRPr="00B350F0">
        <w:rPr>
          <w:rFonts w:ascii="微软雅黑" w:eastAsia="微软雅黑" w:hAnsi="微软雅黑" w:cs="宋体" w:hint="eastAsia"/>
          <w:color w:val="000000"/>
          <w:kern w:val="0"/>
          <w:sz w:val="24"/>
          <w:szCs w:val="24"/>
        </w:rPr>
        <w:br/>
        <w:t>    第二章申请和审批 </w:t>
      </w:r>
      <w:r w:rsidRPr="00B350F0">
        <w:rPr>
          <w:rFonts w:ascii="微软雅黑" w:eastAsia="微软雅黑" w:hAnsi="微软雅黑" w:cs="宋体" w:hint="eastAsia"/>
          <w:color w:val="000000"/>
          <w:kern w:val="0"/>
          <w:sz w:val="24"/>
          <w:szCs w:val="24"/>
        </w:rPr>
        <w:br/>
        <w:t>    第六条申请市重点实验室建设须具备以下条件: </w:t>
      </w:r>
      <w:r w:rsidRPr="00B350F0">
        <w:rPr>
          <w:rFonts w:ascii="微软雅黑" w:eastAsia="微软雅黑" w:hAnsi="微软雅黑" w:cs="宋体" w:hint="eastAsia"/>
          <w:color w:val="000000"/>
          <w:kern w:val="0"/>
          <w:sz w:val="24"/>
          <w:szCs w:val="24"/>
        </w:rPr>
        <w:br/>
        <w:t>    1.申报主体:在海口地区具有独立法人资格的企事业单位。以联盟等形式共同申请的,必须确立一个主建法人单位,并附有共建协议书,明确各方权责。 </w:t>
      </w:r>
      <w:r w:rsidRPr="00B350F0">
        <w:rPr>
          <w:rFonts w:ascii="微软雅黑" w:eastAsia="微软雅黑" w:hAnsi="微软雅黑" w:cs="宋体" w:hint="eastAsia"/>
          <w:color w:val="000000"/>
          <w:kern w:val="0"/>
          <w:sz w:val="24"/>
          <w:szCs w:val="24"/>
        </w:rPr>
        <w:br/>
        <w:t>    2.研究方向和目标:研究方向符合国家、海南省和海口市发展战略,研究目标明确,优势和区域特色明显。 </w:t>
      </w:r>
      <w:r w:rsidRPr="00B350F0">
        <w:rPr>
          <w:rFonts w:ascii="微软雅黑" w:eastAsia="微软雅黑" w:hAnsi="微软雅黑" w:cs="宋体" w:hint="eastAsia"/>
          <w:color w:val="000000"/>
          <w:kern w:val="0"/>
          <w:sz w:val="24"/>
          <w:szCs w:val="24"/>
        </w:rPr>
        <w:br/>
        <w:t>    3.人才队伍:有较高水平学术带头人,拥有一支数量合理(15人以上)、结构优化、学术水平较高、学风严谨、创新意识浓厚、相对稳定的科技创新队伍;拥有强有力的组织机构和管理团队,其中专业技术人员不低于75%,高、中级职称人员占实验室人数的比例不得少于60%,实验室专职人员人数不少于 7人。 </w:t>
      </w:r>
      <w:r w:rsidRPr="00B350F0">
        <w:rPr>
          <w:rFonts w:ascii="微软雅黑" w:eastAsia="微软雅黑" w:hAnsi="微软雅黑" w:cs="宋体" w:hint="eastAsia"/>
          <w:color w:val="000000"/>
          <w:kern w:val="0"/>
          <w:sz w:val="24"/>
          <w:szCs w:val="24"/>
        </w:rPr>
        <w:br/>
        <w:t>    4.科技服务能力:具有明确的专业服务方向,能够面向社会提供相应服务,拥有一批具有创新需求的服务对象,具备集聚创新资源、组织科技攻关、提供技术服务、实施成果转化、开展人才培养等基本功能,并具有较强的创新能力和行业辐射能力。 </w:t>
      </w:r>
      <w:r w:rsidRPr="00B350F0">
        <w:rPr>
          <w:rFonts w:ascii="微软雅黑" w:eastAsia="微软雅黑" w:hAnsi="微软雅黑" w:cs="宋体" w:hint="eastAsia"/>
          <w:color w:val="000000"/>
          <w:kern w:val="0"/>
          <w:sz w:val="24"/>
          <w:szCs w:val="24"/>
        </w:rPr>
        <w:br/>
        <w:t>    5.硬件建设:具备较好的科研实验条件。具有一定规模的科技创新基础资源和技术装备,能为本领域中小企业、科研人员提供必要的仪器设备和场地,相对独立</w:t>
      </w:r>
      <w:r w:rsidRPr="00B350F0">
        <w:rPr>
          <w:rFonts w:ascii="微软雅黑" w:eastAsia="微软雅黑" w:hAnsi="微软雅黑" w:cs="宋体" w:hint="eastAsia"/>
          <w:color w:val="000000"/>
          <w:kern w:val="0"/>
          <w:sz w:val="24"/>
          <w:szCs w:val="24"/>
        </w:rPr>
        <w:lastRenderedPageBreak/>
        <w:t>的科研用房面积300平方米以上,科研仪器设备总值(原值)不低于100万元,并能统一管理,开放式使用。 </w:t>
      </w:r>
      <w:r w:rsidRPr="00B350F0">
        <w:rPr>
          <w:rFonts w:ascii="微软雅黑" w:eastAsia="微软雅黑" w:hAnsi="微软雅黑" w:cs="宋体" w:hint="eastAsia"/>
          <w:color w:val="000000"/>
          <w:kern w:val="0"/>
          <w:sz w:val="24"/>
          <w:szCs w:val="24"/>
        </w:rPr>
        <w:br/>
        <w:t>    6.运行管理:具备完善的组织体系、管理体制和运行机制,较强的研发组织管理水平,发展计划和目标明确,具有稳定的产学研合作机制和实现良性持续发展的运行机制,初步建立“开放、流动、联合、竞争”的运行机制。 </w:t>
      </w:r>
      <w:r w:rsidRPr="00B350F0">
        <w:rPr>
          <w:rFonts w:ascii="微软雅黑" w:eastAsia="微软雅黑" w:hAnsi="微软雅黑" w:cs="宋体" w:hint="eastAsia"/>
          <w:color w:val="000000"/>
          <w:kern w:val="0"/>
          <w:sz w:val="24"/>
          <w:szCs w:val="24"/>
        </w:rPr>
        <w:br/>
        <w:t>    7.支持与投入:依托单位及其行政主管部门科研投入能力较强,能为重点实验室的运行提供必要的工作经费、后勤保障、学术活动等配套条件。依托单位为企业的,近三年来年投入科研经费一般不少于企业年销售收入的3%,近三年来依托单位以不同方式投入实验室建设经费不少于200万元。 </w:t>
      </w:r>
      <w:r w:rsidRPr="00B350F0">
        <w:rPr>
          <w:rFonts w:ascii="微软雅黑" w:eastAsia="微软雅黑" w:hAnsi="微软雅黑" w:cs="宋体" w:hint="eastAsia"/>
          <w:color w:val="000000"/>
          <w:kern w:val="0"/>
          <w:sz w:val="24"/>
          <w:szCs w:val="24"/>
        </w:rPr>
        <w:br/>
        <w:t>    8.科研基础和能力:具备承担国家、省和市级重大科研任务的能力;实验室依托单位近3年承担过省、市级重大科研项目,在国内外较高水平期刊上发表过一定数量的论文,并有科研成果获得过市级以上科技奖。 </w:t>
      </w:r>
      <w:r w:rsidRPr="00B350F0">
        <w:rPr>
          <w:rFonts w:ascii="微软雅黑" w:eastAsia="微软雅黑" w:hAnsi="微软雅黑" w:cs="宋体" w:hint="eastAsia"/>
          <w:color w:val="000000"/>
          <w:kern w:val="0"/>
          <w:sz w:val="24"/>
          <w:szCs w:val="24"/>
        </w:rPr>
        <w:br/>
        <w:t>    9.对于新成立的机构,主要考察其研究方向、人才队伍、硬件建设、运行管理、科研计划等条件因素。 </w:t>
      </w:r>
      <w:r w:rsidRPr="00B350F0">
        <w:rPr>
          <w:rFonts w:ascii="微软雅黑" w:eastAsia="微软雅黑" w:hAnsi="微软雅黑" w:cs="宋体" w:hint="eastAsia"/>
          <w:color w:val="000000"/>
          <w:kern w:val="0"/>
          <w:sz w:val="24"/>
          <w:szCs w:val="24"/>
        </w:rPr>
        <w:br/>
        <w:t>    第七条申请市重点实验室建设计划需提交以下材料: </w:t>
      </w:r>
      <w:r w:rsidRPr="00B350F0">
        <w:rPr>
          <w:rFonts w:ascii="微软雅黑" w:eastAsia="微软雅黑" w:hAnsi="微软雅黑" w:cs="宋体" w:hint="eastAsia"/>
          <w:color w:val="000000"/>
          <w:kern w:val="0"/>
          <w:sz w:val="24"/>
          <w:szCs w:val="24"/>
        </w:rPr>
        <w:br/>
        <w:t>    1.市重点实验室建设申请报告; </w:t>
      </w:r>
      <w:r w:rsidRPr="00B350F0">
        <w:rPr>
          <w:rFonts w:ascii="微软雅黑" w:eastAsia="微软雅黑" w:hAnsi="微软雅黑" w:cs="宋体" w:hint="eastAsia"/>
          <w:color w:val="000000"/>
          <w:kern w:val="0"/>
          <w:sz w:val="24"/>
          <w:szCs w:val="24"/>
        </w:rPr>
        <w:br/>
        <w:t>    2.可行性研究报告; </w:t>
      </w:r>
      <w:r w:rsidRPr="00B350F0">
        <w:rPr>
          <w:rFonts w:ascii="微软雅黑" w:eastAsia="微软雅黑" w:hAnsi="微软雅黑" w:cs="宋体" w:hint="eastAsia"/>
          <w:color w:val="000000"/>
          <w:kern w:val="0"/>
          <w:sz w:val="24"/>
          <w:szCs w:val="24"/>
        </w:rPr>
        <w:br/>
        <w:t>    3.建设计划、经费预算; </w:t>
      </w:r>
      <w:r w:rsidRPr="00B350F0">
        <w:rPr>
          <w:rFonts w:ascii="微软雅黑" w:eastAsia="微软雅黑" w:hAnsi="微软雅黑" w:cs="宋体" w:hint="eastAsia"/>
          <w:color w:val="000000"/>
          <w:kern w:val="0"/>
          <w:sz w:val="24"/>
          <w:szCs w:val="24"/>
        </w:rPr>
        <w:br/>
        <w:t>    4.其它相关材料。 </w:t>
      </w:r>
      <w:r w:rsidRPr="00B350F0">
        <w:rPr>
          <w:rFonts w:ascii="微软雅黑" w:eastAsia="微软雅黑" w:hAnsi="微软雅黑" w:cs="宋体" w:hint="eastAsia"/>
          <w:color w:val="000000"/>
          <w:kern w:val="0"/>
          <w:sz w:val="24"/>
          <w:szCs w:val="24"/>
        </w:rPr>
        <w:br/>
        <w:t>    第八条市重点实验室建设周期一般为二年。 </w:t>
      </w:r>
      <w:r w:rsidRPr="00B350F0">
        <w:rPr>
          <w:rFonts w:ascii="微软雅黑" w:eastAsia="微软雅黑" w:hAnsi="微软雅黑" w:cs="宋体" w:hint="eastAsia"/>
          <w:color w:val="000000"/>
          <w:kern w:val="0"/>
          <w:sz w:val="24"/>
          <w:szCs w:val="24"/>
        </w:rPr>
        <w:br/>
        <w:t>    第九条市科技行政主管部门根据市科技发展规划,在申请单位自愿申报的基础上,经考察调研,组织有关专家论证,并经办公会审批立项后,下文批复申请单位组</w:t>
      </w:r>
      <w:r w:rsidRPr="00B350F0">
        <w:rPr>
          <w:rFonts w:ascii="微软雅黑" w:eastAsia="微软雅黑" w:hAnsi="微软雅黑" w:cs="宋体" w:hint="eastAsia"/>
          <w:color w:val="000000"/>
          <w:kern w:val="0"/>
          <w:sz w:val="24"/>
          <w:szCs w:val="24"/>
        </w:rPr>
        <w:lastRenderedPageBreak/>
        <w:t>建市重点实验室,通知申请单位签订《海口市重点实验室建设计划任务书》。 </w:t>
      </w:r>
      <w:r w:rsidRPr="00B350F0">
        <w:rPr>
          <w:rFonts w:ascii="微软雅黑" w:eastAsia="微软雅黑" w:hAnsi="微软雅黑" w:cs="宋体" w:hint="eastAsia"/>
          <w:color w:val="000000"/>
          <w:kern w:val="0"/>
          <w:sz w:val="24"/>
          <w:szCs w:val="24"/>
        </w:rPr>
        <w:br/>
        <w:t>    第三章运行与管理 </w:t>
      </w:r>
      <w:r w:rsidRPr="00B350F0">
        <w:rPr>
          <w:rFonts w:ascii="微软雅黑" w:eastAsia="微软雅黑" w:hAnsi="微软雅黑" w:cs="宋体" w:hint="eastAsia"/>
          <w:color w:val="000000"/>
          <w:kern w:val="0"/>
          <w:sz w:val="24"/>
          <w:szCs w:val="24"/>
        </w:rPr>
        <w:br/>
        <w:t>    第十条市重点实验室的一经批复,须按《海口市重点实验室建设计划任务书》向市科技行政主管部门提交本年度建设计划,年终提交本年度实施总结报告,并提交下年度建设计划。 </w:t>
      </w:r>
      <w:r w:rsidRPr="00B350F0">
        <w:rPr>
          <w:rFonts w:ascii="微软雅黑" w:eastAsia="微软雅黑" w:hAnsi="微软雅黑" w:cs="宋体" w:hint="eastAsia"/>
          <w:color w:val="000000"/>
          <w:kern w:val="0"/>
          <w:sz w:val="24"/>
          <w:szCs w:val="24"/>
        </w:rPr>
        <w:br/>
        <w:t>    第十一条市重点实验室实行依托单位领导下的主任负责制。重点实验室主任由依托单位聘任,全面负责实验室工作。 </w:t>
      </w:r>
      <w:r w:rsidRPr="00B350F0">
        <w:rPr>
          <w:rFonts w:ascii="微软雅黑" w:eastAsia="微软雅黑" w:hAnsi="微软雅黑" w:cs="宋体" w:hint="eastAsia"/>
          <w:color w:val="000000"/>
          <w:kern w:val="0"/>
          <w:sz w:val="24"/>
          <w:szCs w:val="24"/>
        </w:rPr>
        <w:br/>
        <w:t>    第十二条市重点实验室应设立学术委员会,主要职责是决定重点实验室研究方向,审定研究课题等。 </w:t>
      </w:r>
      <w:r w:rsidRPr="00B350F0">
        <w:rPr>
          <w:rFonts w:ascii="微软雅黑" w:eastAsia="微软雅黑" w:hAnsi="微软雅黑" w:cs="宋体" w:hint="eastAsia"/>
          <w:color w:val="000000"/>
          <w:kern w:val="0"/>
          <w:sz w:val="24"/>
          <w:szCs w:val="24"/>
        </w:rPr>
        <w:br/>
        <w:t>    第十三条依托单位必须保证重点实验室有固定人员,稳定的科研队伍,并注意吸收青年科技人员参加。 </w:t>
      </w:r>
      <w:r w:rsidRPr="00B350F0">
        <w:rPr>
          <w:rFonts w:ascii="微软雅黑" w:eastAsia="微软雅黑" w:hAnsi="微软雅黑" w:cs="宋体" w:hint="eastAsia"/>
          <w:color w:val="000000"/>
          <w:kern w:val="0"/>
          <w:sz w:val="24"/>
          <w:szCs w:val="24"/>
        </w:rPr>
        <w:br/>
        <w:t>    第十四条重点实验室应对外开放,加强与国内外相关研究领域的单位和人员联合开展研究开发活动。同时,对国家、省级和市级科技计划项目提出的实验要求,在不影响自身科研的情况下,应提供服务。 </w:t>
      </w:r>
      <w:r w:rsidRPr="00B350F0">
        <w:rPr>
          <w:rFonts w:ascii="微软雅黑" w:eastAsia="微软雅黑" w:hAnsi="微软雅黑" w:cs="宋体" w:hint="eastAsia"/>
          <w:color w:val="000000"/>
          <w:kern w:val="0"/>
          <w:sz w:val="24"/>
          <w:szCs w:val="24"/>
        </w:rPr>
        <w:br/>
        <w:t>    第十五条重点实验室应积极申报国家、省级和市级科技计划项目,不断提高研究成果的数量和水平。 </w:t>
      </w:r>
      <w:r w:rsidRPr="00B350F0">
        <w:rPr>
          <w:rFonts w:ascii="微软雅黑" w:eastAsia="微软雅黑" w:hAnsi="微软雅黑" w:cs="宋体" w:hint="eastAsia"/>
          <w:color w:val="000000"/>
          <w:kern w:val="0"/>
          <w:sz w:val="24"/>
          <w:szCs w:val="24"/>
        </w:rPr>
        <w:br/>
        <w:t>    第十六条市科技行政主管部门对具备条件的实验室,组织其申报国家级、省级重实验室。市科技行政主管部门对市重点实验室申报的项目给予优先支持。 </w:t>
      </w:r>
      <w:r w:rsidRPr="00B350F0">
        <w:rPr>
          <w:rFonts w:ascii="微软雅黑" w:eastAsia="微软雅黑" w:hAnsi="微软雅黑" w:cs="宋体" w:hint="eastAsia"/>
          <w:color w:val="000000"/>
          <w:kern w:val="0"/>
          <w:sz w:val="24"/>
          <w:szCs w:val="24"/>
        </w:rPr>
        <w:br/>
        <w:t>    第四章经费筹集与使用 </w:t>
      </w:r>
      <w:r w:rsidRPr="00B350F0">
        <w:rPr>
          <w:rFonts w:ascii="微软雅黑" w:eastAsia="微软雅黑" w:hAnsi="微软雅黑" w:cs="宋体" w:hint="eastAsia"/>
          <w:color w:val="000000"/>
          <w:kern w:val="0"/>
          <w:sz w:val="24"/>
          <w:szCs w:val="24"/>
        </w:rPr>
        <w:br/>
        <w:t>    第十七条重点实验室应多渠道争取经费支持,鼓励其通过横向创收增强自身实力。 </w:t>
      </w:r>
      <w:r w:rsidRPr="00B350F0">
        <w:rPr>
          <w:rFonts w:ascii="微软雅黑" w:eastAsia="微软雅黑" w:hAnsi="微软雅黑" w:cs="宋体" w:hint="eastAsia"/>
          <w:color w:val="000000"/>
          <w:kern w:val="0"/>
          <w:sz w:val="24"/>
          <w:szCs w:val="24"/>
        </w:rPr>
        <w:br/>
        <w:t>    第十八条重点实验室建设和运行资金主要由依托单位自筹,市财政专项经费适</w:t>
      </w:r>
      <w:r w:rsidRPr="00B350F0">
        <w:rPr>
          <w:rFonts w:ascii="微软雅黑" w:eastAsia="微软雅黑" w:hAnsi="微软雅黑" w:cs="宋体" w:hint="eastAsia"/>
          <w:color w:val="000000"/>
          <w:kern w:val="0"/>
          <w:sz w:val="24"/>
          <w:szCs w:val="24"/>
        </w:rPr>
        <w:lastRenderedPageBreak/>
        <w:t>当给予补助。 </w:t>
      </w:r>
      <w:r w:rsidRPr="00B350F0">
        <w:rPr>
          <w:rFonts w:ascii="微软雅黑" w:eastAsia="微软雅黑" w:hAnsi="微软雅黑" w:cs="宋体" w:hint="eastAsia"/>
          <w:color w:val="000000"/>
          <w:kern w:val="0"/>
          <w:sz w:val="24"/>
          <w:szCs w:val="24"/>
        </w:rPr>
        <w:br/>
        <w:t>    第十九条市科技行政主管部门资助的实验室建设经费,主要用于购置先进适用的仪器设备和软件,及引进必要的技术,不能用于其它开支。 </w:t>
      </w:r>
      <w:r w:rsidRPr="00B350F0">
        <w:rPr>
          <w:rFonts w:ascii="微软雅黑" w:eastAsia="微软雅黑" w:hAnsi="微软雅黑" w:cs="宋体" w:hint="eastAsia"/>
          <w:color w:val="000000"/>
          <w:kern w:val="0"/>
          <w:sz w:val="24"/>
          <w:szCs w:val="24"/>
        </w:rPr>
        <w:br/>
        <w:t>    第五章考评和验收 </w:t>
      </w:r>
      <w:r w:rsidRPr="00B350F0">
        <w:rPr>
          <w:rFonts w:ascii="微软雅黑" w:eastAsia="微软雅黑" w:hAnsi="微软雅黑" w:cs="宋体" w:hint="eastAsia"/>
          <w:color w:val="000000"/>
          <w:kern w:val="0"/>
          <w:sz w:val="24"/>
          <w:szCs w:val="24"/>
        </w:rPr>
        <w:br/>
        <w:t>    第二十条市重点实验室建成后,由依托单位向市科技行政主管部门提交验收申请。市科技行政主管部门组织专家进行现场验收,形成专家组验收意见,验收意见结论为:“通过验收”或“不通过验收”。“通过验收”的重点实验室,经市科技行政主管部门批准正式设立并授予“海口市+核心研究方向+重点实验室”称号。 </w:t>
      </w:r>
      <w:r w:rsidRPr="00B350F0">
        <w:rPr>
          <w:rFonts w:ascii="微软雅黑" w:eastAsia="微软雅黑" w:hAnsi="微软雅黑" w:cs="宋体" w:hint="eastAsia"/>
          <w:color w:val="000000"/>
          <w:kern w:val="0"/>
          <w:sz w:val="24"/>
          <w:szCs w:val="24"/>
        </w:rPr>
        <w:br/>
        <w:t>    第二十一条市重点实验室建设期结束后,未完成《海口市重点实验室建设计划任务书》要求或经组织验收“不通过验收” 的市重点实验室,给予 6个月的整改期限,再次组织验收;对两次“不通过验收”的重点实验室将终止建设。 </w:t>
      </w:r>
      <w:r w:rsidRPr="00B350F0">
        <w:rPr>
          <w:rFonts w:ascii="微软雅黑" w:eastAsia="微软雅黑" w:hAnsi="微软雅黑" w:cs="宋体" w:hint="eastAsia"/>
          <w:color w:val="000000"/>
          <w:kern w:val="0"/>
          <w:sz w:val="24"/>
          <w:szCs w:val="24"/>
        </w:rPr>
        <w:br/>
        <w:t>    第二十二条不能按期完成筹建任务的重点实验室,依托单位应在筹建期满前2个月内,向市科技行政主管部门提出延期验收申请。延期验收期限为1 年,只能延期一次。 </w:t>
      </w:r>
      <w:r w:rsidRPr="00B350F0">
        <w:rPr>
          <w:rFonts w:ascii="微软雅黑" w:eastAsia="微软雅黑" w:hAnsi="微软雅黑" w:cs="宋体" w:hint="eastAsia"/>
          <w:color w:val="000000"/>
          <w:kern w:val="0"/>
          <w:sz w:val="24"/>
          <w:szCs w:val="24"/>
        </w:rPr>
        <w:br/>
        <w:t>    第二十三条市科技行政主管部门每年负责对重点实验室进行年度考评。对实施情况好的,加大支持力度;对实施情况差的,要求其限期进行整改,整改后仍不能达到要求的,取消其重点实验室资格。 </w:t>
      </w:r>
      <w:r w:rsidRPr="00B350F0">
        <w:rPr>
          <w:rFonts w:ascii="微软雅黑" w:eastAsia="微软雅黑" w:hAnsi="微软雅黑" w:cs="宋体" w:hint="eastAsia"/>
          <w:color w:val="000000"/>
          <w:kern w:val="0"/>
          <w:sz w:val="24"/>
          <w:szCs w:val="24"/>
        </w:rPr>
        <w:br/>
        <w:t>    第六章附则 </w:t>
      </w:r>
      <w:r w:rsidRPr="00B350F0">
        <w:rPr>
          <w:rFonts w:ascii="微软雅黑" w:eastAsia="微软雅黑" w:hAnsi="微软雅黑" w:cs="宋体" w:hint="eastAsia"/>
          <w:color w:val="000000"/>
          <w:kern w:val="0"/>
          <w:sz w:val="24"/>
          <w:szCs w:val="24"/>
        </w:rPr>
        <w:br/>
        <w:t>    第二十四条本办法由海口市科学技术工业信息化局负责解释。 </w:t>
      </w:r>
      <w:r w:rsidRPr="00B350F0">
        <w:rPr>
          <w:rFonts w:ascii="微软雅黑" w:eastAsia="微软雅黑" w:hAnsi="微软雅黑" w:cs="宋体" w:hint="eastAsia"/>
          <w:color w:val="000000"/>
          <w:kern w:val="0"/>
          <w:sz w:val="24"/>
          <w:szCs w:val="24"/>
        </w:rPr>
        <w:br/>
        <w:t>    第二十五条本规定自2018 年7月23日起施行,有效期5年。 </w:t>
      </w:r>
      <w:r w:rsidRPr="00B350F0">
        <w:rPr>
          <w:rFonts w:ascii="微软雅黑" w:eastAsia="微软雅黑" w:hAnsi="微软雅黑" w:cs="宋体" w:hint="eastAsia"/>
          <w:color w:val="000000"/>
          <w:kern w:val="0"/>
          <w:sz w:val="24"/>
          <w:szCs w:val="24"/>
        </w:rPr>
        <w:br/>
      </w:r>
      <w:r w:rsidRPr="00B350F0">
        <w:rPr>
          <w:rFonts w:ascii="微软雅黑" w:eastAsia="微软雅黑" w:hAnsi="微软雅黑" w:cs="宋体" w:hint="eastAsia"/>
          <w:color w:val="000000"/>
          <w:kern w:val="0"/>
          <w:sz w:val="24"/>
          <w:szCs w:val="24"/>
        </w:rPr>
        <w:lastRenderedPageBreak/>
        <w:t>    海口市科学技术工业信息化局办公室 </w:t>
      </w:r>
      <w:r w:rsidRPr="00B350F0">
        <w:rPr>
          <w:rFonts w:ascii="微软雅黑" w:eastAsia="微软雅黑" w:hAnsi="微软雅黑" w:cs="宋体" w:hint="eastAsia"/>
          <w:color w:val="000000"/>
          <w:kern w:val="0"/>
          <w:sz w:val="24"/>
          <w:szCs w:val="24"/>
        </w:rPr>
        <w:br/>
        <w:t>    2018年7月23日印发 </w:t>
      </w:r>
    </w:p>
    <w:p w:rsidR="00F828E9" w:rsidRPr="00B350F0" w:rsidRDefault="00F828E9"/>
    <w:sectPr w:rsidR="00F828E9" w:rsidRPr="00B35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B98" w:rsidRDefault="00F50B98" w:rsidP="00B350F0">
      <w:r>
        <w:separator/>
      </w:r>
    </w:p>
  </w:endnote>
  <w:endnote w:type="continuationSeparator" w:id="0">
    <w:p w:rsidR="00F50B98" w:rsidRDefault="00F50B98" w:rsidP="00B3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B98" w:rsidRDefault="00F50B98" w:rsidP="00B350F0">
      <w:r>
        <w:separator/>
      </w:r>
    </w:p>
  </w:footnote>
  <w:footnote w:type="continuationSeparator" w:id="0">
    <w:p w:rsidR="00F50B98" w:rsidRDefault="00F50B98" w:rsidP="00B35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63"/>
    <w:rsid w:val="009A1663"/>
    <w:rsid w:val="00B350F0"/>
    <w:rsid w:val="00F50B98"/>
    <w:rsid w:val="00F8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DDE2E9-564A-4567-97E7-5D69F256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0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0F0"/>
    <w:rPr>
      <w:sz w:val="18"/>
      <w:szCs w:val="18"/>
    </w:rPr>
  </w:style>
  <w:style w:type="paragraph" w:styleId="a4">
    <w:name w:val="footer"/>
    <w:basedOn w:val="a"/>
    <w:link w:val="Char0"/>
    <w:uiPriority w:val="99"/>
    <w:unhideWhenUsed/>
    <w:rsid w:val="00B350F0"/>
    <w:pPr>
      <w:tabs>
        <w:tab w:val="center" w:pos="4153"/>
        <w:tab w:val="right" w:pos="8306"/>
      </w:tabs>
      <w:snapToGrid w:val="0"/>
      <w:jc w:val="left"/>
    </w:pPr>
    <w:rPr>
      <w:sz w:val="18"/>
      <w:szCs w:val="18"/>
    </w:rPr>
  </w:style>
  <w:style w:type="character" w:customStyle="1" w:styleId="Char0">
    <w:name w:val="页脚 Char"/>
    <w:basedOn w:val="a0"/>
    <w:link w:val="a4"/>
    <w:uiPriority w:val="99"/>
    <w:rsid w:val="00B350F0"/>
    <w:rPr>
      <w:sz w:val="18"/>
      <w:szCs w:val="18"/>
    </w:rPr>
  </w:style>
  <w:style w:type="paragraph" w:styleId="a5">
    <w:name w:val="Normal (Web)"/>
    <w:basedOn w:val="a"/>
    <w:uiPriority w:val="99"/>
    <w:semiHidden/>
    <w:unhideWhenUsed/>
    <w:rsid w:val="00B350F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35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35422">
      <w:bodyDiv w:val="1"/>
      <w:marLeft w:val="0"/>
      <w:marRight w:val="0"/>
      <w:marTop w:val="0"/>
      <w:marBottom w:val="0"/>
      <w:divBdr>
        <w:top w:val="none" w:sz="0" w:space="0" w:color="auto"/>
        <w:left w:val="none" w:sz="0" w:space="0" w:color="auto"/>
        <w:bottom w:val="none" w:sz="0" w:space="0" w:color="auto"/>
        <w:right w:val="none" w:sz="0" w:space="0" w:color="auto"/>
      </w:divBdr>
      <w:divsChild>
        <w:div w:id="1301308754">
          <w:marLeft w:val="0"/>
          <w:marRight w:val="0"/>
          <w:marTop w:val="0"/>
          <w:marBottom w:val="450"/>
          <w:divBdr>
            <w:top w:val="none" w:sz="0" w:space="0" w:color="auto"/>
            <w:left w:val="none" w:sz="0" w:space="0" w:color="auto"/>
            <w:bottom w:val="none" w:sz="0" w:space="0" w:color="auto"/>
            <w:right w:val="none" w:sz="0" w:space="0" w:color="auto"/>
          </w:divBdr>
        </w:div>
        <w:div w:id="63749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478</Words>
  <Characters>2729</Characters>
  <Application>Microsoft Office Word</Application>
  <DocSecurity>0</DocSecurity>
  <Lines>22</Lines>
  <Paragraphs>6</Paragraphs>
  <ScaleCrop>false</ScaleCrop>
  <Company>微软中国</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2019-01-21T07:46:00Z</dcterms:created>
  <dcterms:modified xsi:type="dcterms:W3CDTF">2019-01-21T07:46:00Z</dcterms:modified>
</cp:coreProperties>
</file>