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4F12">
      <w:pPr>
        <w:spacing w:line="574" w:lineRule="exact"/>
        <w:rPr>
          <w:rStyle w:val="a3"/>
          <w:rFonts w:ascii="黑体" w:eastAsia="黑体" w:hAnsi="黑体" w:cs="黑体" w:hint="eastAsia"/>
          <w:b w:val="0"/>
          <w:bCs w:val="0"/>
          <w:spacing w:val="-6"/>
          <w:sz w:val="32"/>
          <w:szCs w:val="32"/>
        </w:rPr>
      </w:pPr>
      <w:r>
        <w:rPr>
          <w:rStyle w:val="a3"/>
          <w:rFonts w:ascii="黑体" w:eastAsia="黑体" w:hAnsi="黑体" w:cs="黑体" w:hint="eastAsia"/>
          <w:b w:val="0"/>
          <w:bCs w:val="0"/>
          <w:spacing w:val="-6"/>
          <w:sz w:val="32"/>
          <w:szCs w:val="32"/>
        </w:rPr>
        <w:t>附件</w:t>
      </w:r>
    </w:p>
    <w:p w:rsidR="00000000" w:rsidRDefault="00BC4F12">
      <w:pPr>
        <w:spacing w:line="574" w:lineRule="exact"/>
        <w:rPr>
          <w:rStyle w:val="a3"/>
          <w:rFonts w:ascii="宋体" w:hAnsi="宋体" w:hint="eastAsia"/>
          <w:spacing w:val="-6"/>
          <w:sz w:val="44"/>
          <w:szCs w:val="44"/>
        </w:rPr>
      </w:pPr>
    </w:p>
    <w:p w:rsidR="00000000" w:rsidRDefault="00BC4F12">
      <w:pPr>
        <w:spacing w:line="574" w:lineRule="exact"/>
        <w:jc w:val="center"/>
        <w:rPr>
          <w:rStyle w:val="a3"/>
          <w:rFonts w:ascii="方正小标宋简体" w:eastAsia="方正小标宋简体" w:hAnsi="方正小标宋简体" w:cs="方正小标宋简体" w:hint="eastAsia"/>
          <w:b w:val="0"/>
          <w:bCs w:val="0"/>
          <w:spacing w:val="-6"/>
          <w:sz w:val="44"/>
          <w:szCs w:val="44"/>
        </w:rPr>
      </w:pPr>
      <w:r>
        <w:rPr>
          <w:rStyle w:val="a3"/>
          <w:rFonts w:ascii="方正小标宋简体" w:eastAsia="方正小标宋简体" w:hAnsi="方正小标宋简体" w:cs="方正小标宋简体" w:hint="eastAsia"/>
          <w:b w:val="0"/>
          <w:bCs w:val="0"/>
          <w:spacing w:val="-6"/>
          <w:sz w:val="44"/>
          <w:szCs w:val="44"/>
        </w:rPr>
        <w:t>汕头市科学技术局关于工程技术</w:t>
      </w:r>
    </w:p>
    <w:p w:rsidR="00000000" w:rsidRDefault="00BC4F12">
      <w:pPr>
        <w:spacing w:line="574" w:lineRule="exact"/>
        <w:jc w:val="center"/>
        <w:rPr>
          <w:rStyle w:val="a3"/>
          <w:rFonts w:ascii="方正小标宋简体" w:eastAsia="方正小标宋简体" w:hAnsi="方正小标宋简体" w:cs="方正小标宋简体" w:hint="eastAsia"/>
          <w:b w:val="0"/>
          <w:bCs w:val="0"/>
          <w:spacing w:val="-6"/>
          <w:sz w:val="44"/>
          <w:szCs w:val="44"/>
        </w:rPr>
      </w:pPr>
      <w:r>
        <w:rPr>
          <w:rStyle w:val="a3"/>
          <w:rFonts w:ascii="方正小标宋简体" w:eastAsia="方正小标宋简体" w:hAnsi="方正小标宋简体" w:cs="方正小标宋简体" w:hint="eastAsia"/>
          <w:b w:val="0"/>
          <w:bCs w:val="0"/>
          <w:spacing w:val="-6"/>
          <w:sz w:val="44"/>
          <w:szCs w:val="44"/>
        </w:rPr>
        <w:t>研究中心认定管理办法</w:t>
      </w:r>
    </w:p>
    <w:p w:rsidR="00000000" w:rsidRDefault="00BC4F12">
      <w:pPr>
        <w:pStyle w:val="a6"/>
        <w:spacing w:before="0" w:beforeAutospacing="0" w:after="0" w:afterAutospacing="0" w:line="574" w:lineRule="exact"/>
        <w:ind w:firstLineChars="200" w:firstLine="616"/>
        <w:jc w:val="both"/>
        <w:rPr>
          <w:rFonts w:ascii="ˎ̥" w:hAnsi="ˎ̥"/>
          <w:spacing w:val="-6"/>
          <w:sz w:val="32"/>
          <w:szCs w:val="32"/>
        </w:rPr>
      </w:pPr>
      <w:r>
        <w:rPr>
          <w:rFonts w:ascii="ˎ̥" w:hAnsi="ˎ̥"/>
          <w:spacing w:val="-6"/>
          <w:sz w:val="32"/>
          <w:szCs w:val="32"/>
        </w:rPr>
        <w:t xml:space="preserve">     </w:t>
      </w:r>
      <w:r>
        <w:rPr>
          <w:rFonts w:ascii="ˎ̥" w:hAnsi="ˎ̥" w:hint="eastAsia"/>
          <w:spacing w:val="-6"/>
          <w:sz w:val="32"/>
          <w:szCs w:val="32"/>
        </w:rPr>
        <w:t xml:space="preserve">            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第一条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为加快实施创新驱动发展战略，建立健全我市科技创新体系，提升企业自主创新能力，加速高新技术产业的发展和对传统产业的改造，根据国家和省的有关规定，结合我市实际，制定本办法。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第二条</w:t>
      </w:r>
      <w:r>
        <w:rPr>
          <w:rFonts w:ascii="黑体" w:eastAsia="黑体" w:hAnsi="黑体" w:cs="黑体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本办法所称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技术研究中心（以下简称“工程中心”）是指主要依托我市综合实力和创新能力较强的单位，具有较完备的工程技术综合配套试验条件，有一支高素质的研究开发、工程设计和试验的专业科技队伍，有稳定的经费来源，并能提供多种综合性技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术服务的工程技术研究开发机构。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第三条</w:t>
      </w: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分两大类：一是企业类，主要依托企业组建，以本企业为主要服务对象，提供技术发展战略制定、技术研发支撑、技术交流与合作、技术人才培养等服务；二是公益类，主要依托高校和科研机构组建，为相关行业提供产业共性技术攻关、核心装备研制、标准制订、工程技术人才培训等公共服务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第四条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工程中心的任务：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据功能定位的不同，工程中心主要任务分为：</w:t>
      </w:r>
    </w:p>
    <w:p w:rsidR="00000000" w:rsidRDefault="00BC4F12">
      <w:pPr>
        <w:spacing w:line="540" w:lineRule="exact"/>
        <w:ind w:firstLineChars="200" w:firstLine="616"/>
        <w:rPr>
          <w:rFonts w:ascii="楷体_GB2312" w:eastAsia="楷体_GB2312" w:hAnsi="楷体_GB2312" w:cs="楷体_GB2312" w:hint="eastAsia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>（一）企业类：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、参与制定和执行本单位技术发展战略和技术创新、技术引进、技术开发规划和计划，建立知识产权制度。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lastRenderedPageBreak/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、对具有广阔应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用前景的科研成果进行系统化、配套化和工程化研究开发，为适合企业规模生产提供成熟配套的技术工艺、技术装备和技术标准，不断地推出技术含量高、经济效益好的系列新产品，为企业发展提供技术支撑。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、注重产学研相结合，提高承接国家及省市重大科技项目的能力。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、组织工程技术人才培训，创造良好的工作条件，建立有效的人才激励机制和分配机制，吸引人才以各种形式为本单位服务。</w:t>
      </w:r>
    </w:p>
    <w:p w:rsidR="00000000" w:rsidRDefault="00BC4F12">
      <w:pPr>
        <w:spacing w:line="540" w:lineRule="exact"/>
        <w:ind w:firstLineChars="200" w:firstLine="616"/>
        <w:rPr>
          <w:rFonts w:ascii="楷体_GB2312" w:eastAsia="楷体_GB2312" w:hAnsi="楷体_GB2312" w:cs="楷体_GB2312" w:hint="eastAsia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>（二）公益类：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、针对我市行业或区域发展的重大技术问题进行攻关，持续不断地创造新成果，开发新技术，并进行系统化、配套化和工程化研究，提供成熟配套的工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艺、技术、装备，推动相关行业、领域的科技进步和新兴产业的发展。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、实行开放服务，承担有关单位委托的工程技术研究、试验项目和科技服务项目，参与技术和重大装备的引进、消化、吸收和再创新，并为重大科技成果转化和产业化提供技术咨询服务。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、为本行业相关企业提供技术咨询、产品检测、质量监督及技术信息、工程技术人才培训等服务，参与国家和行业技术标准的研究制订，提升行业、领域的科技竞争力。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第五条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市科技局负责推进工程中心的建设、考核等管理工作。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第六条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　申请认定为工程中心的依托单位应具备下列条件：</w:t>
      </w:r>
    </w:p>
    <w:p w:rsidR="00000000" w:rsidRDefault="00BC4F12">
      <w:pPr>
        <w:spacing w:line="540" w:lineRule="exact"/>
        <w:ind w:firstLineChars="200" w:firstLine="616"/>
        <w:rPr>
          <w:rFonts w:ascii="楷体_GB2312" w:eastAsia="楷体_GB2312" w:hAnsi="楷体_GB2312" w:cs="楷体_GB2312" w:hint="eastAsia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lastRenderedPageBreak/>
        <w:t>（一）基本条件</w:t>
      </w: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>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、工程中心依托的企业、科研院所和高等院校必须在汕头市内注册登记，并具有独立法人资格。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、专职研究开发人员达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10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人以上，其中中级职称（或本科以上学历）以上人员不少于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30%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、具备工程技术试验条件和基础设施，有必要的检测、分析、测试手段和工艺设备（不包括生产用设备），且设备原值应当不低于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100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万元。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、已有一批科技成果成功实现了工程化开发转化，为企业生产提供了成熟配套的先进技术、工艺、产品和装备，推动了企业的科技进步，产生了较好的经济效益。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5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、具有良好的运行机制，内部机构设置合理，分工明确，规章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制度健全，管理模式高效。依托高校、科研院所建设的工程中心必须有良好的产学研合作基础。</w:t>
      </w:r>
    </w:p>
    <w:p w:rsidR="00000000" w:rsidRDefault="00BC4F12">
      <w:pPr>
        <w:spacing w:line="540" w:lineRule="exact"/>
        <w:ind w:firstLineChars="200" w:firstLine="616"/>
        <w:rPr>
          <w:rFonts w:ascii="楷体_GB2312" w:eastAsia="楷体_GB2312" w:hAnsi="楷体_GB2312" w:cs="楷体_GB2312" w:hint="eastAsia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sz w:val="32"/>
          <w:szCs w:val="32"/>
        </w:rPr>
        <w:t>（二）分类条件：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依托单位除具备上述基本条件外，不同类别还应同时具备下列条件：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---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企业类：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color w:val="000000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企业经营和运行状况良好，具有较强的盈利能力和较高的管理水平，上一年度主营业务收入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1000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万元以上；能够提供工程中心需要的主要资金。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、企业有持续的研发投入，上年研究开发经费不低于企业年销售收入的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3%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，或不少于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100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万元。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、企业拥有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项以上的专利、软件著作权、集成电路布图设计专有权、植物新品种等自主知识产权。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lastRenderedPageBreak/>
        <w:t>---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公益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类：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、保证落实工程中心的建设资金和日常研究开发经费。每年承担所申报行业（领域）的科研项目不少于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项。应拥有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项以上专利、软件著作权、集成电路布图设计专有权、植物新品种等自主知识产权。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、具有为同行业（领域）企业服务的经验，有较好的服务企业或行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  <w:shd w:val="clear" w:color="auto" w:fill="FFFFFF"/>
        </w:rPr>
        <w:t>业的业绩，具有一批可转化的科技成果，具备良性循环的自我发展能力。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第七条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申请认定工程中心的单位应当提交以下材料：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（一）《汕头市工程技术研究中心认定申请书》，并附《汕头市工程技术研究中心建设报告》。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（二）组织机构代码证、营业执照或者事业单位（社会团体）登记证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、税务登记证等有效证件复印件。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（三）上一年度财务报告（含资产负债表、利润表、现金流量表、研究经费投入情况）。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（四）知识产权材料：知识产权证书、软件著作权、工法、标准等。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（五）科技成果转化证明材料：成果来源可从知识产权、技术诀窍、项目立项证明等方面提供证明材料；转化结果可从生产批文、新产品、新技术推广应用证明、产品质量检测报告等方面提供材料。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（六）研究开发活动证明材料：科技项目立项证明、企业自立研发项目证明以及其他证明材料等。</w:t>
      </w:r>
    </w:p>
    <w:p w:rsidR="00000000" w:rsidRDefault="00BC4F12" w:rsidP="00BC4F12">
      <w:pPr>
        <w:spacing w:line="540" w:lineRule="exact"/>
        <w:ind w:firstLineChars="162" w:firstLine="499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（七）工程中心专职研发人员学历、职称证明材料。</w:t>
      </w:r>
    </w:p>
    <w:p w:rsidR="00000000" w:rsidRDefault="00BC4F12" w:rsidP="00BC4F12">
      <w:pPr>
        <w:spacing w:line="540" w:lineRule="exact"/>
        <w:ind w:firstLineChars="212" w:firstLine="653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第八条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市直主管单位、各区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县科技主管部门负责对申报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lastRenderedPageBreak/>
        <w:t>材料的真实性和合法性进行初步审查，审查通过后报市科技局。市科技局组织专家进行评审，根据专家评审结果，研究确定拟认定工程中心名单，并在网站上公示。</w:t>
      </w:r>
    </w:p>
    <w:p w:rsidR="00000000" w:rsidRDefault="00BC4F12" w:rsidP="00BC4F12">
      <w:pPr>
        <w:spacing w:line="540" w:lineRule="exact"/>
        <w:ind w:firstLineChars="212" w:firstLine="653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第九条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公示有异议的，由市科技局对有关问题进行核实；经核实没有问题的，与公示无异议的一起认定为工程中心。</w:t>
      </w:r>
    </w:p>
    <w:p w:rsidR="00000000" w:rsidRDefault="00BC4F12" w:rsidP="00BC4F12">
      <w:pPr>
        <w:spacing w:line="540" w:lineRule="exact"/>
        <w:ind w:firstLineChars="212" w:firstLine="653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工程中心依托单位申报市科技计划项目，市科技局给予择优支持，并优先推荐申报国家、省有关项目。</w:t>
      </w:r>
    </w:p>
    <w:p w:rsidR="00000000" w:rsidRDefault="00BC4F12" w:rsidP="00BC4F12">
      <w:pPr>
        <w:spacing w:line="540" w:lineRule="exact"/>
        <w:ind w:firstLineChars="212" w:firstLine="653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第十一条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工程中心应加强知识产权管理，建立和完善知识产权保护制度，合法使用知识产权。</w:t>
      </w:r>
    </w:p>
    <w:p w:rsidR="00000000" w:rsidRDefault="00BC4F12" w:rsidP="00BC4F12">
      <w:pPr>
        <w:spacing w:line="540" w:lineRule="exact"/>
        <w:ind w:firstLineChars="212" w:firstLine="653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第十二条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工程中心必须按照科学、高效的原则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，建立有效的运行机制，充分利用企业现有基础和条件开展技术研究开发，并积极与高校、科研院所开展多种形式的合作，建立长期稳定的合作关系。</w:t>
      </w:r>
    </w:p>
    <w:p w:rsidR="00000000" w:rsidRDefault="00BC4F12">
      <w:pPr>
        <w:shd w:val="clear" w:color="auto" w:fill="FFFFFF"/>
        <w:spacing w:line="540" w:lineRule="exact"/>
        <w:ind w:firstLine="640"/>
        <w:jc w:val="left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第十三条</w:t>
      </w:r>
      <w:r>
        <w:rPr>
          <w:rFonts w:ascii="方正仿宋简体" w:eastAsia="方正仿宋简体" w:hAnsi="方正仿宋简体" w:cs="方正仿宋简体" w:hint="eastAsia"/>
          <w:color w:val="000000"/>
          <w:spacing w:val="-6"/>
          <w:kern w:val="0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工程中心实施动态管理。市科技局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制定考核工作办法，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对已认定的工程中心根据其运行情况和建设绩效，每三年进行一次考核评估，重点评价其知识产权创造、研发投入、研发队伍建设、研发条件保障、研发项目、研发管理制度以及经济社会效益等内容。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第十四条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对考核为不合格的工程中心，限期一年进行整改，对整改后仍不符合要求的，取消其工程中心资格。</w:t>
      </w:r>
    </w:p>
    <w:p w:rsidR="00000000" w:rsidRDefault="00BC4F12">
      <w:pPr>
        <w:spacing w:line="540" w:lineRule="exact"/>
        <w:ind w:firstLineChars="200" w:firstLine="616"/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第十五条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本办法由市科技局负责解释，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本办法自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2016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6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日起施行，有效期至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12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5</w:t>
      </w: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日止。有效期届满，经评估需要继续施行的，根据评估情况重新修订。</w:t>
      </w:r>
    </w:p>
    <w:sectPr w:rsidR="0000000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C4F12">
      <w:r>
        <w:separator/>
      </w:r>
    </w:p>
  </w:endnote>
  <w:endnote w:type="continuationSeparator" w:id="0">
    <w:p w:rsidR="00000000" w:rsidRDefault="00BC4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4F12">
    <w:pPr>
      <w:pStyle w:val="a5"/>
      <w:jc w:val="center"/>
      <w:rPr>
        <w:rFonts w:ascii="宋体" w:hAnsi="宋体" w:cs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104pt;margin-top:0;width:2in;height:2in;z-index:251657728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BC4F12">
                <w:pPr>
                  <w:pStyle w:val="a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BC4F12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BC4F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C4F12">
      <w:r>
        <w:separator/>
      </w:r>
    </w:p>
  </w:footnote>
  <w:footnote w:type="continuationSeparator" w:id="0">
    <w:p w:rsidR="00000000" w:rsidRDefault="00BC4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324"/>
    <w:rsid w:val="0000508A"/>
    <w:rsid w:val="00076336"/>
    <w:rsid w:val="000A7BA3"/>
    <w:rsid w:val="000D3673"/>
    <w:rsid w:val="001B2998"/>
    <w:rsid w:val="001E10B0"/>
    <w:rsid w:val="0023344A"/>
    <w:rsid w:val="002A66D5"/>
    <w:rsid w:val="002C4150"/>
    <w:rsid w:val="002F61E7"/>
    <w:rsid w:val="003947B7"/>
    <w:rsid w:val="0043443C"/>
    <w:rsid w:val="004517BC"/>
    <w:rsid w:val="0048356D"/>
    <w:rsid w:val="00546A30"/>
    <w:rsid w:val="005C2B0D"/>
    <w:rsid w:val="00665F8E"/>
    <w:rsid w:val="006B7F01"/>
    <w:rsid w:val="006C74E6"/>
    <w:rsid w:val="0070098E"/>
    <w:rsid w:val="007F6A23"/>
    <w:rsid w:val="008A1B8D"/>
    <w:rsid w:val="008C26E8"/>
    <w:rsid w:val="00990D19"/>
    <w:rsid w:val="009E51F4"/>
    <w:rsid w:val="00A10AE0"/>
    <w:rsid w:val="00A125D7"/>
    <w:rsid w:val="00A155D9"/>
    <w:rsid w:val="00A35F93"/>
    <w:rsid w:val="00A42951"/>
    <w:rsid w:val="00A618E4"/>
    <w:rsid w:val="00AB3509"/>
    <w:rsid w:val="00B23D10"/>
    <w:rsid w:val="00B62B87"/>
    <w:rsid w:val="00BC4F12"/>
    <w:rsid w:val="00BD2FE6"/>
    <w:rsid w:val="00C237EB"/>
    <w:rsid w:val="00CE5E51"/>
    <w:rsid w:val="00D325AA"/>
    <w:rsid w:val="00DA5CC1"/>
    <w:rsid w:val="00E07471"/>
    <w:rsid w:val="00E13085"/>
    <w:rsid w:val="00E47935"/>
    <w:rsid w:val="00E621C5"/>
    <w:rsid w:val="00E817C1"/>
    <w:rsid w:val="00ED07CF"/>
    <w:rsid w:val="00F35BD9"/>
    <w:rsid w:val="00F40EC4"/>
    <w:rsid w:val="00F90CE1"/>
    <w:rsid w:val="00FC6324"/>
    <w:rsid w:val="0D2414DB"/>
    <w:rsid w:val="15D969FC"/>
    <w:rsid w:val="1CB24CE0"/>
    <w:rsid w:val="23484832"/>
    <w:rsid w:val="32820A5A"/>
    <w:rsid w:val="39B067E0"/>
    <w:rsid w:val="3A064516"/>
    <w:rsid w:val="3DB76610"/>
    <w:rsid w:val="3EAA298A"/>
    <w:rsid w:val="3F5A1CB1"/>
    <w:rsid w:val="4E434F08"/>
    <w:rsid w:val="56E73988"/>
    <w:rsid w:val="63B32DD9"/>
    <w:rsid w:val="736E5062"/>
    <w:rsid w:val="73A54641"/>
    <w:rsid w:val="76E2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391</Words>
  <Characters>2234</Characters>
  <Application>Microsoft Office Word</Application>
  <DocSecurity>4</DocSecurity>
  <PresentationFormat/>
  <Lines>18</Lines>
  <Paragraphs>5</Paragraphs>
  <Slides>0</Slides>
  <Notes>0</Notes>
  <HiddenSlides>0</HiddenSlides>
  <MMClips>0</MMClips>
  <ScaleCrop>false</ScaleCrop>
  <Manager/>
  <Company>Sky123.Org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linfan</cp:lastModifiedBy>
  <cp:revision>2</cp:revision>
  <cp:lastPrinted>2016-10-26T03:37:00Z</cp:lastPrinted>
  <dcterms:created xsi:type="dcterms:W3CDTF">2018-05-03T15:17:00Z</dcterms:created>
  <dcterms:modified xsi:type="dcterms:W3CDTF">2018-05-03T15:17:00Z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