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46" w:rsidRDefault="004A4A0B">
      <w:r w:rsidRPr="004A4A0B">
        <w:rPr>
          <w:rFonts w:hint="eastAsia"/>
        </w:rPr>
        <w:t>永州市鼓励外商投资的若干规定</w:t>
      </w:r>
    </w:p>
    <w:p w:rsidR="004A4A0B" w:rsidRDefault="004A4A0B">
      <w:pPr>
        <w:rPr>
          <w:rFonts w:ascii="微软雅黑" w:eastAsia="微软雅黑" w:hAnsi="微软雅黑"/>
          <w:szCs w:val="21"/>
        </w:rPr>
      </w:pPr>
      <w:r>
        <w:rPr>
          <w:rFonts w:ascii="微软雅黑" w:eastAsia="微软雅黑" w:hAnsi="微软雅黑" w:hint="eastAsia"/>
          <w:szCs w:val="21"/>
        </w:rPr>
        <w:t>2015-07-09 08:57          </w:t>
      </w:r>
    </w:p>
    <w:p w:rsidR="004A4A0B" w:rsidRPr="004A4A0B" w:rsidRDefault="004A4A0B" w:rsidP="004A4A0B">
      <w:pPr>
        <w:widowControl/>
        <w:jc w:val="left"/>
        <w:rPr>
          <w:rFonts w:ascii="微软雅黑" w:eastAsia="微软雅黑" w:hAnsi="微软雅黑" w:cs="宋体"/>
          <w:color w:val="4C5157"/>
          <w:kern w:val="0"/>
          <w:sz w:val="24"/>
          <w:szCs w:val="24"/>
        </w:rPr>
      </w:pPr>
      <w:r w:rsidRPr="004A4A0B">
        <w:rPr>
          <w:rFonts w:ascii="微软雅黑" w:eastAsia="微软雅黑" w:hAnsi="微软雅黑" w:cs="宋体" w:hint="eastAsia"/>
          <w:color w:val="4C5157"/>
          <w:kern w:val="0"/>
          <w:sz w:val="24"/>
          <w:szCs w:val="24"/>
        </w:rPr>
        <w:t xml:space="preserve">为了进一步扩大对外开放，鼓励外商投资，促进永州经济快速发展，根据国家有关法律、法规、政策，结合我市实际，特制定以下规定。 </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第一条 积极鼓励外资投资新型工业、基础设施、旅游业、生产性服务业、商贸物流业等领域。外商投资可以经营国家明令禁止以外的任何行业、项目、商品和服务，自主确定经营方式，享受本规定有关优惠政策和优质服务（对我市不可再生资源进行开采和加工的企业除外）。</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第二条  凡外商在我市境内投资第一条规定领域的项目，除享受国家给予的税收优惠政策外，从投资之日起，企业足额上缴各种税收后，其他地方财政享有部分，第1-3年每年将其本年度的30%奖励给企业，用于企业扩大再生产。</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第三条  对新办的外商投资企业，各种行政事业性</w:t>
      </w:r>
      <w:proofErr w:type="gramStart"/>
      <w:r w:rsidRPr="004A4A0B">
        <w:rPr>
          <w:rFonts w:ascii="微软雅黑" w:eastAsia="微软雅黑" w:hAnsi="微软雅黑" w:cs="宋体" w:hint="eastAsia"/>
          <w:color w:val="4C5157"/>
          <w:kern w:val="0"/>
          <w:sz w:val="24"/>
          <w:szCs w:val="24"/>
        </w:rPr>
        <w:t>规</w:t>
      </w:r>
      <w:proofErr w:type="gramEnd"/>
      <w:r w:rsidRPr="004A4A0B">
        <w:rPr>
          <w:rFonts w:ascii="微软雅黑" w:eastAsia="微软雅黑" w:hAnsi="微软雅黑" w:cs="宋体" w:hint="eastAsia"/>
          <w:color w:val="4C5157"/>
          <w:kern w:val="0"/>
          <w:sz w:val="24"/>
          <w:szCs w:val="24"/>
        </w:rPr>
        <w:t>费除上缴中央、省里部分外，地方所得部分和各种有偿性服务收费项目在本级政府权限内，均按政策规定的最低标准的50%收取。</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第四条  外商投资企业建设用地按国家、省里有关规定办理，重点支持凤凰园开发区、长丰工业园和加工贸易走廊基础设施建设，优先保障用地需求。鼓励园区内企业集约用地，凡投资强度达到一定规模的、厂房在3层以上的优先解决用地指标。</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lastRenderedPageBreak/>
        <w:t xml:space="preserve">　　 第五条  投资工业企业以招标、拍卖、挂牌等出让方式取得土地使用权的，其土地出让成交价不得低于国家、省、市现行规定的我市工业用地出让最低价标准。</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第六条  外商投资项目依法取得土地使用权，在不改变土地用途的前提下，可依法按有关规定转让、出租、抵押、继承或从事其他合法经济活动。</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第七条  外商投资企业在符合供水、供电规范并经验证的前提下，允许企业自行安装厂内的水电设施，有关部门不再收取管理费。</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第八条  对投资500万美元或4000万人民币以上的生产经营性项目、城乡基础设施项目、商贸物流项目、旅游项目、高新技术项目，纳入我市产业集群发展规划的重点项目，世界500强企业、国内200强企业或国内外知名品牌企业、上市公司投资的对全市经济社会发展具有重大战略意义的项目，均可在用地和税收等方面，采取个案研究的办法，给予重点扶持，享受更加优惠政策。同时每个项目均建立市级领导联系制度，加强服务，确保项目顺利实施。</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第九条  市优化办、市监察局、市政务服务中心要认真督导各有关部门对外商投资项目实行审批、办证全程代办绿色通道制度。审批事项涉及多个部门的要采取并联审批等措施，简化办事程序，提高办事效率。外商来我市兴办企业，凡在我市审批权限内的项目，在资料齐备、手续俱全情况下，各相关审批单位必须在法定工作的期限内办好有关登记、发证等手续。</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第十条  对全市外商投资企业全面推行税外负担登记制度。税外负担登记采用登记卡形式，由企业持有，市物价、监察部门负责具体组织、实施工作。</w:t>
      </w:r>
      <w:r w:rsidRPr="004A4A0B">
        <w:rPr>
          <w:rFonts w:ascii="微软雅黑" w:eastAsia="微软雅黑" w:hAnsi="微软雅黑" w:cs="宋体" w:hint="eastAsia"/>
          <w:color w:val="4C5157"/>
          <w:kern w:val="0"/>
          <w:sz w:val="24"/>
          <w:szCs w:val="24"/>
        </w:rPr>
        <w:lastRenderedPageBreak/>
        <w:t>收费部门对企业的各项收费，必须如实填写企业缴费登记卡、否则，企业有权拒付。</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第十一条  加强外商投资企业投诉受理工作。设立市外商投资投诉协调中心（设市商务局），负责会同市行政效能投诉中心受理和协调处理外商的各种投诉。</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第十二条  对在我市投资兴办企业的外商，由市政府颁发“外商投资卡（绿卡）”。外商及家属</w:t>
      </w:r>
      <w:proofErr w:type="gramStart"/>
      <w:r w:rsidRPr="004A4A0B">
        <w:rPr>
          <w:rFonts w:ascii="微软雅黑" w:eastAsia="微软雅黑" w:hAnsi="微软雅黑" w:cs="宋体" w:hint="eastAsia"/>
          <w:color w:val="4C5157"/>
          <w:kern w:val="0"/>
          <w:sz w:val="24"/>
          <w:szCs w:val="24"/>
        </w:rPr>
        <w:t>‘</w:t>
      </w:r>
      <w:proofErr w:type="gramEnd"/>
      <w:r w:rsidRPr="004A4A0B">
        <w:rPr>
          <w:rFonts w:ascii="微软雅黑" w:eastAsia="微软雅黑" w:hAnsi="微软雅黑" w:cs="宋体" w:hint="eastAsia"/>
          <w:color w:val="4C5157"/>
          <w:kern w:val="0"/>
          <w:sz w:val="24"/>
          <w:szCs w:val="24"/>
        </w:rPr>
        <w:t>子女可凭绿卡到公安机关免费办理暂住证，在本市的公办学校选择就读（除交纳正常学杂费外，不再收取其他任何附加费用）。对投资额大或对我市经济发展做出突出贡献的外商，可授予“永州市荣誉市民”称号，可特邀出席我市一年一度的人大、政协会议或重大庆典活动。</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第十三条  实际到位外资达100万美元或年缴税50万元以上的外商投资企业，根据资金到位情况（以验资报告和外汇</w:t>
      </w:r>
      <w:proofErr w:type="gramStart"/>
      <w:r w:rsidRPr="004A4A0B">
        <w:rPr>
          <w:rFonts w:ascii="微软雅黑" w:eastAsia="微软雅黑" w:hAnsi="微软雅黑" w:cs="宋体" w:hint="eastAsia"/>
          <w:color w:val="4C5157"/>
          <w:kern w:val="0"/>
          <w:sz w:val="24"/>
          <w:szCs w:val="24"/>
        </w:rPr>
        <w:t>询证函</w:t>
      </w:r>
      <w:proofErr w:type="gramEnd"/>
      <w:r w:rsidRPr="004A4A0B">
        <w:rPr>
          <w:rFonts w:ascii="微软雅黑" w:eastAsia="微软雅黑" w:hAnsi="微软雅黑" w:cs="宋体" w:hint="eastAsia"/>
          <w:color w:val="4C5157"/>
          <w:kern w:val="0"/>
          <w:sz w:val="24"/>
          <w:szCs w:val="24"/>
        </w:rPr>
        <w:t>为准）或缴税单，特批一辆小车在零陵区和冷水滩区区域享受与市级领导机关车辆相同的过桥过路通行费减免优惠政策，有关减免手续由市商务部门统一代为办理。</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第十四条  各级政府及其部门要切实加强为外商投资项目服务，认真帮助外商协调处理项目建设过程中的矛盾和问题，保障外商的合法权益。项目建设用地由业主单位和国土部门组织专门人员限期报批；项目建设的水电供应要切实保证；对外来投资项目在开工建设和生产经营发生的各种矛盾纠纷，党政领导和责任部门必须限期调处。</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lastRenderedPageBreak/>
        <w:t xml:space="preserve">　　第十五条  对凤凰园经济开发区、长丰工业园等实行园区管理“六不准”：</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1. 任何单位和个人，不准擅自到园区内企业进行各种名目的检查。确有必要进行的检查，必须严格按程序报批方可实施。检查应当出示执法的有效证件，并且不能影响企业的正常生产经营。</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2. 任何单位和个人不得向园区企业乱摊派或变相摊派、强拉赞助、捐赠或以不正当理由占用企业产品。</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3. 任何单位和个人，不准擅自查封园区企业财产、账户和吊销营业执照。确需依法采取上述执法措施的，必须严格按程序报批后方可实施。</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4. 不准强制企业参加不必要的培训班，接受指定性服务，以从中谋利，或将无偿服务变有偿服务。</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5.  任何单位和个人不准强行推荐和介绍人员到园区企业工作。</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6. 任何单位和个人不准向园区内企业强卖生产、生活资料和原材料。</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t xml:space="preserve">　　第十六条  本规定中所指外商是指中华人民共和国境外投资企业。（含港、澳、台投资企业）、社会团体和个人。永州市行政区域以外的国内企业、社会团体、个人来我市投资项目的，经市商务局登记备案，报市政府批准后，参照本规定执行。</w:t>
      </w:r>
    </w:p>
    <w:p w:rsidR="004A4A0B" w:rsidRPr="004A4A0B" w:rsidRDefault="004A4A0B" w:rsidP="004A4A0B">
      <w:pPr>
        <w:widowControl/>
        <w:spacing w:before="100" w:beforeAutospacing="1" w:after="100" w:afterAutospacing="1"/>
        <w:jc w:val="left"/>
        <w:rPr>
          <w:rFonts w:ascii="微软雅黑" w:eastAsia="微软雅黑" w:hAnsi="微软雅黑" w:cs="宋体" w:hint="eastAsia"/>
          <w:color w:val="4C5157"/>
          <w:kern w:val="0"/>
          <w:sz w:val="24"/>
          <w:szCs w:val="24"/>
        </w:rPr>
      </w:pPr>
      <w:r w:rsidRPr="004A4A0B">
        <w:rPr>
          <w:rFonts w:ascii="微软雅黑" w:eastAsia="微软雅黑" w:hAnsi="微软雅黑" w:cs="宋体" w:hint="eastAsia"/>
          <w:color w:val="4C5157"/>
          <w:kern w:val="0"/>
          <w:sz w:val="24"/>
          <w:szCs w:val="24"/>
        </w:rPr>
        <w:lastRenderedPageBreak/>
        <w:t xml:space="preserve">　　第十七条  本规定自公布之日起生效。此前，市政府、市直有关部门制定的招商引资有关规定与本规定不一致的，以本规定为准。各县区可根据本规定精神制定招商引资具体实施办法。</w:t>
      </w:r>
    </w:p>
    <w:p w:rsidR="004A4A0B" w:rsidRPr="004A4A0B" w:rsidRDefault="004A4A0B">
      <w:pPr>
        <w:rPr>
          <w:rFonts w:hint="eastAsia"/>
        </w:rPr>
      </w:pPr>
      <w:bookmarkStart w:id="0" w:name="_GoBack"/>
      <w:bookmarkEnd w:id="0"/>
    </w:p>
    <w:sectPr w:rsidR="004A4A0B" w:rsidRPr="004A4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01"/>
    <w:rsid w:val="00130860"/>
    <w:rsid w:val="002B4A01"/>
    <w:rsid w:val="004A4A0B"/>
    <w:rsid w:val="00974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AC9A3-43D7-4994-B883-2E922615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A4A0B"/>
    <w:pPr>
      <w:ind w:leftChars="2500" w:left="100"/>
    </w:pPr>
  </w:style>
  <w:style w:type="character" w:customStyle="1" w:styleId="Char">
    <w:name w:val="日期 Char"/>
    <w:basedOn w:val="a0"/>
    <w:link w:val="a3"/>
    <w:uiPriority w:val="99"/>
    <w:semiHidden/>
    <w:rsid w:val="004A4A0B"/>
  </w:style>
  <w:style w:type="paragraph" w:styleId="a4">
    <w:name w:val="Normal (Web)"/>
    <w:basedOn w:val="a"/>
    <w:uiPriority w:val="99"/>
    <w:semiHidden/>
    <w:unhideWhenUsed/>
    <w:rsid w:val="004A4A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80534">
      <w:bodyDiv w:val="1"/>
      <w:marLeft w:val="0"/>
      <w:marRight w:val="0"/>
      <w:marTop w:val="0"/>
      <w:marBottom w:val="0"/>
      <w:divBdr>
        <w:top w:val="none" w:sz="0" w:space="0" w:color="auto"/>
        <w:left w:val="none" w:sz="0" w:space="0" w:color="auto"/>
        <w:bottom w:val="none" w:sz="0" w:space="0" w:color="auto"/>
        <w:right w:val="none" w:sz="0" w:space="0" w:color="auto"/>
      </w:divBdr>
      <w:divsChild>
        <w:div w:id="1650404787">
          <w:marLeft w:val="0"/>
          <w:marRight w:val="0"/>
          <w:marTop w:val="0"/>
          <w:marBottom w:val="0"/>
          <w:divBdr>
            <w:top w:val="none" w:sz="0" w:space="0" w:color="auto"/>
            <w:left w:val="none" w:sz="0" w:space="0" w:color="auto"/>
            <w:bottom w:val="none" w:sz="0" w:space="0" w:color="auto"/>
            <w:right w:val="none" w:sz="0" w:space="0" w:color="auto"/>
          </w:divBdr>
          <w:divsChild>
            <w:div w:id="2026209044">
              <w:marLeft w:val="0"/>
              <w:marRight w:val="0"/>
              <w:marTop w:val="0"/>
              <w:marBottom w:val="0"/>
              <w:divBdr>
                <w:top w:val="none" w:sz="0" w:space="0" w:color="auto"/>
                <w:left w:val="none" w:sz="0" w:space="0" w:color="auto"/>
                <w:bottom w:val="none" w:sz="0" w:space="0" w:color="auto"/>
                <w:right w:val="none" w:sz="0" w:space="0" w:color="auto"/>
              </w:divBdr>
              <w:divsChild>
                <w:div w:id="2140803413">
                  <w:marLeft w:val="0"/>
                  <w:marRight w:val="0"/>
                  <w:marTop w:val="0"/>
                  <w:marBottom w:val="0"/>
                  <w:divBdr>
                    <w:top w:val="none" w:sz="0" w:space="0" w:color="auto"/>
                    <w:left w:val="none" w:sz="0" w:space="0" w:color="auto"/>
                    <w:bottom w:val="none" w:sz="0" w:space="0" w:color="auto"/>
                    <w:right w:val="none" w:sz="0" w:space="0" w:color="auto"/>
                  </w:divBdr>
                  <w:divsChild>
                    <w:div w:id="5384445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2018-05-07T11:27:00Z</dcterms:created>
  <dcterms:modified xsi:type="dcterms:W3CDTF">2018-05-07T11:27:00Z</dcterms:modified>
</cp:coreProperties>
</file>