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bookmarkStart w:id="0" w:name="_GoBack"/>
      <w:r>
        <w:rPr>
          <w:rFonts w:hint="eastAsia"/>
          <w:b/>
          <w:bCs/>
        </w:rPr>
        <w:t xml:space="preserve">关于进一步完善有色金属、大型商贸企业税收奖励办法的通知 </w:t>
      </w:r>
    </w:p>
    <w:bookmarkEnd w:id="0"/>
    <w:p>
      <w:pPr>
        <w:rPr>
          <w:rFonts w:hint="eastAsia"/>
        </w:rPr>
      </w:pPr>
      <w:r>
        <w:rPr>
          <w:rFonts w:hint="eastAsia"/>
        </w:rPr>
        <w:t>各乡镇人民政府，县政府各部门，县直农林场：</w:t>
      </w:r>
    </w:p>
    <w:p>
      <w:pPr>
        <w:rPr>
          <w:rFonts w:hint="eastAsia"/>
        </w:rPr>
      </w:pPr>
      <w:r>
        <w:rPr>
          <w:rFonts w:hint="eastAsia"/>
        </w:rPr>
        <w:t>为进一步鼓励扶持我县工业企业及商贸企业发展壮大，培植财源，现就进一步完善我县有色金属和大型商贸企业税收奖励办法通知如下：</w:t>
      </w:r>
    </w:p>
    <w:p>
      <w:pPr>
        <w:rPr>
          <w:rFonts w:hint="eastAsia"/>
        </w:rPr>
      </w:pPr>
      <w:r>
        <w:rPr>
          <w:rFonts w:hint="eastAsia"/>
        </w:rPr>
        <w:t>一、奖励范围和条件</w:t>
      </w:r>
    </w:p>
    <w:p>
      <w:pPr>
        <w:rPr>
          <w:rFonts w:hint="eastAsia"/>
        </w:rPr>
      </w:pPr>
      <w:r>
        <w:rPr>
          <w:rFonts w:hint="eastAsia"/>
        </w:rPr>
        <w:t>1、2012年底以前享受“一企一策”奖励的有色金属企业（含稀土）、大型商贸企业和2013年1月1日以后新办的招商引资工商企业且年缴纳增值税200万元以上（含200万元）纳入奖励范围。</w:t>
      </w:r>
    </w:p>
    <w:p>
      <w:pPr>
        <w:rPr>
          <w:rFonts w:hint="eastAsia"/>
        </w:rPr>
      </w:pPr>
      <w:r>
        <w:rPr>
          <w:rFonts w:hint="eastAsia"/>
        </w:rPr>
        <w:t>2、对新引进落户的总部经济，经县政府认定后，采取“一企一策”的办法进行奖励。</w:t>
      </w:r>
    </w:p>
    <w:p>
      <w:pPr>
        <w:rPr>
          <w:rFonts w:hint="eastAsia"/>
        </w:rPr>
      </w:pPr>
      <w:r>
        <w:rPr>
          <w:rFonts w:hint="eastAsia"/>
        </w:rPr>
        <w:t>二、奖励标准</w:t>
      </w:r>
    </w:p>
    <w:p>
      <w:pPr>
        <w:rPr>
          <w:rFonts w:hint="eastAsia"/>
        </w:rPr>
      </w:pPr>
      <w:r>
        <w:rPr>
          <w:rFonts w:hint="eastAsia"/>
        </w:rPr>
        <w:t>1、增值税奖励</w:t>
      </w:r>
    </w:p>
    <w:p>
      <w:pPr>
        <w:rPr>
          <w:rFonts w:hint="eastAsia"/>
        </w:rPr>
      </w:pPr>
      <w:r>
        <w:rPr>
          <w:rFonts w:hint="eastAsia"/>
        </w:rPr>
        <w:t>（1）对年缴纳增值税200万元（含200万元） -500万元的企业，按其所缴纳的增值税额的25%予以奖励；</w:t>
      </w:r>
    </w:p>
    <w:p>
      <w:pPr>
        <w:rPr>
          <w:rFonts w:hint="eastAsia"/>
        </w:rPr>
      </w:pPr>
      <w:r>
        <w:rPr>
          <w:rFonts w:hint="eastAsia"/>
        </w:rPr>
        <w:t>（2）对年缴纳增值税500万元（含500万元）-1000万元的企业，按其所缴纳的增值税额的27%予以奖励；</w:t>
      </w:r>
    </w:p>
    <w:p>
      <w:pPr>
        <w:rPr>
          <w:rFonts w:hint="eastAsia"/>
        </w:rPr>
      </w:pPr>
      <w:r>
        <w:rPr>
          <w:rFonts w:hint="eastAsia"/>
        </w:rPr>
        <w:t>（3）对年缴纳增值税1000万元（含1000万元）-3000万元的企业，按其所缴纳的增值税额的31%予以奖励；</w:t>
      </w:r>
    </w:p>
    <w:p>
      <w:pPr>
        <w:rPr>
          <w:rFonts w:hint="eastAsia"/>
        </w:rPr>
      </w:pPr>
      <w:r>
        <w:rPr>
          <w:rFonts w:hint="eastAsia"/>
        </w:rPr>
        <w:t>（4）对年缴纳增值税3000万元（含3000万元）-5000万元的企业，按其所缴纳的增值税额的32%予以奖励；</w:t>
      </w:r>
    </w:p>
    <w:p>
      <w:pPr>
        <w:rPr>
          <w:rFonts w:hint="eastAsia"/>
        </w:rPr>
      </w:pPr>
      <w:r>
        <w:rPr>
          <w:rFonts w:hint="eastAsia"/>
        </w:rPr>
        <w:t>（5）对年缴纳增值税5000万元（含5000万元）以上的企业，按其所缴纳的增值税额的33%予以奖励。</w:t>
      </w:r>
    </w:p>
    <w:p>
      <w:pPr>
        <w:rPr>
          <w:rFonts w:hint="eastAsia"/>
        </w:rPr>
      </w:pPr>
      <w:r>
        <w:rPr>
          <w:rFonts w:hint="eastAsia"/>
        </w:rPr>
        <w:t>（6）对大型商贸企业增值税奖励在上述同档次标准的基础上相应减少2个百分点。</w:t>
      </w:r>
    </w:p>
    <w:p>
      <w:pPr>
        <w:rPr>
          <w:rFonts w:hint="eastAsia"/>
        </w:rPr>
      </w:pPr>
      <w:r>
        <w:rPr>
          <w:rFonts w:hint="eastAsia"/>
        </w:rPr>
        <w:t>2、其他税收奖励</w:t>
      </w:r>
    </w:p>
    <w:p>
      <w:pPr>
        <w:rPr>
          <w:rFonts w:hint="eastAsia"/>
        </w:rPr>
      </w:pPr>
      <w:r>
        <w:rPr>
          <w:rFonts w:hint="eastAsia"/>
        </w:rPr>
        <w:t>（1）对年缴纳税收1000万元以下的企业，其缴纳的其他税收和教育附加费按地方所得部分的60%予以奖励。</w:t>
      </w:r>
    </w:p>
    <w:p>
      <w:pPr>
        <w:rPr>
          <w:rFonts w:hint="eastAsia"/>
        </w:rPr>
      </w:pPr>
      <w:r>
        <w:rPr>
          <w:rFonts w:hint="eastAsia"/>
        </w:rPr>
        <w:t>（2）对年缴纳税收1000万元（含1000万元）以上的企业，其缴纳的其他税收和教育附加费按地方所得部分的100%予以奖励。</w:t>
      </w:r>
    </w:p>
    <w:p>
      <w:pPr>
        <w:rPr>
          <w:rFonts w:hint="eastAsia"/>
        </w:rPr>
      </w:pPr>
      <w:r>
        <w:rPr>
          <w:rFonts w:hint="eastAsia"/>
        </w:rPr>
        <w:t>三、其他事项</w:t>
      </w:r>
    </w:p>
    <w:p>
      <w:pPr>
        <w:rPr>
          <w:rFonts w:hint="eastAsia"/>
        </w:rPr>
      </w:pPr>
      <w:r>
        <w:rPr>
          <w:rFonts w:hint="eastAsia"/>
        </w:rPr>
        <w:t>1、奖励资金由县财政按月拨付、年终结算，主要用于扶持企业技术改造和扩大再生产。</w:t>
      </w:r>
    </w:p>
    <w:p>
      <w:pPr>
        <w:rPr>
          <w:rFonts w:hint="eastAsia"/>
        </w:rPr>
      </w:pPr>
      <w:r>
        <w:rPr>
          <w:rFonts w:hint="eastAsia"/>
        </w:rPr>
        <w:t>2、本办法从2013年1月1日起执行，在此之前出台的有关政策文件与本办法不一致的，以本办法为准。</w:t>
      </w:r>
    </w:p>
    <w:p>
      <w:pPr>
        <w:rPr>
          <w:rFonts w:hint="eastAsia"/>
        </w:rPr>
      </w:pPr>
      <w:r>
        <w:rPr>
          <w:rFonts w:hint="eastAsia"/>
        </w:rPr>
        <w:t xml:space="preserve">                         </w:t>
      </w:r>
    </w:p>
    <w:p>
      <w:pPr>
        <w:rPr>
          <w:rFonts w:hint="eastAsia"/>
        </w:rPr>
      </w:pPr>
      <w:r>
        <w:rPr>
          <w:rFonts w:hint="eastAsia"/>
        </w:rPr>
        <w:t xml:space="preserve">                                     新干县人民政府办公室</w:t>
      </w:r>
    </w:p>
    <w:p>
      <w:pPr>
        <w:rPr>
          <w:rFonts w:hint="eastAsia"/>
        </w:rPr>
      </w:pPr>
      <w:r>
        <w:rPr>
          <w:rFonts w:hint="eastAsia"/>
        </w:rPr>
        <w:t xml:space="preserve">                                             2013年4月7日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1EF5"/>
    <w:rsid w:val="0B9C770A"/>
    <w:rsid w:val="19CB7228"/>
    <w:rsid w:val="373034F0"/>
    <w:rsid w:val="3BE05103"/>
    <w:rsid w:val="4AF76158"/>
    <w:rsid w:val="54B21EF5"/>
    <w:rsid w:val="55D252A4"/>
    <w:rsid w:val="55FE4179"/>
    <w:rsid w:val="6C872D74"/>
    <w:rsid w:val="7F594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2018-05-17T02:39:00Z</dcterms:created>
  <dc:creator>huchunming</dc:creator>
  <cp:lastModifiedBy>huchunming</cp:lastModifiedBy>
  <dcterms:modified xsi:type="dcterms:W3CDTF">2018-05-17T03:36:20Z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