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t>西宁市非国有博物馆登记管理及促进发展</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t>实施办法（试行）</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br/>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方正小标宋简体" w:eastAsia="方正小标宋简体" w:hAnsi="Arial" w:cs="Arial" w:hint="eastAsia"/>
          <w:color w:val="000000"/>
          <w:sz w:val="44"/>
          <w:szCs w:val="44"/>
        </w:rPr>
        <w:br/>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为进一步加强非国有博物馆管理，促进非国有博物馆发展，根据《中华人民共和国文物保护法》、《博物馆条例》、及国家文物局《关于进一步推动非国有博物馆发展的意见》（文物博发</w:t>
      </w:r>
      <w:r>
        <w:rPr>
          <w:rFonts w:ascii="仿宋" w:eastAsia="仿宋" w:hAnsi="仿宋" w:cs="Arial" w:hint="eastAsia"/>
          <w:color w:val="000000"/>
          <w:sz w:val="32"/>
          <w:szCs w:val="32"/>
        </w:rPr>
        <w:t>﹝</w:t>
      </w:r>
      <w:r>
        <w:rPr>
          <w:rFonts w:ascii="Times New Roman" w:hAnsi="Times New Roman" w:cs="Times New Roman"/>
          <w:color w:val="000000"/>
          <w:sz w:val="32"/>
          <w:szCs w:val="32"/>
        </w:rPr>
        <w:t>2017</w:t>
      </w:r>
      <w:r>
        <w:rPr>
          <w:rFonts w:ascii="仿宋" w:eastAsia="仿宋" w:hAnsi="仿宋" w:cs="Arial" w:hint="eastAsia"/>
          <w:color w:val="000000"/>
          <w:sz w:val="32"/>
          <w:szCs w:val="32"/>
        </w:rPr>
        <w:t>﹞</w:t>
      </w:r>
      <w:r>
        <w:rPr>
          <w:rFonts w:ascii="Times New Roman" w:hAnsi="Times New Roman" w:cs="Times New Roman"/>
          <w:color w:val="000000"/>
          <w:sz w:val="32"/>
          <w:szCs w:val="32"/>
        </w:rPr>
        <w:t>16</w:t>
      </w:r>
      <w:r>
        <w:rPr>
          <w:rFonts w:ascii="仿宋_GB2312" w:eastAsia="仿宋_GB2312" w:hAnsi="Arial" w:cs="Arial" w:hint="eastAsia"/>
          <w:color w:val="000000"/>
          <w:sz w:val="32"/>
          <w:szCs w:val="32"/>
        </w:rPr>
        <w:t>号）等相关规定，现结合本市实际，制定本办法，规范我市非国有博物馆登记管理，培育和促进我市非国有博物馆发展。</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黑体" w:eastAsia="黑体" w:hAnsi="黑体" w:cs="Arial" w:hint="eastAsia"/>
          <w:color w:val="000000"/>
          <w:sz w:val="32"/>
          <w:szCs w:val="32"/>
        </w:rPr>
        <w:t>第一章</w:t>
      </w:r>
      <w:r>
        <w:rPr>
          <w:rFonts w:ascii="Calibri" w:eastAsia="黑体" w:hAnsi="Calibri" w:cs="Calibri"/>
          <w:color w:val="000000"/>
          <w:sz w:val="32"/>
          <w:szCs w:val="32"/>
        </w:rPr>
        <w:t> </w:t>
      </w:r>
      <w:r>
        <w:rPr>
          <w:rFonts w:ascii="黑体" w:eastAsia="黑体" w:hAnsi="黑体" w:cs="Arial" w:hint="eastAsia"/>
          <w:color w:val="000000"/>
          <w:sz w:val="32"/>
          <w:szCs w:val="32"/>
        </w:rPr>
        <w:t>总则</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第一条</w:t>
      </w:r>
      <w:r>
        <w:rPr>
          <w:rFonts w:ascii="Times New Roman" w:hAnsi="Times New Roman" w:cs="Times New Roman"/>
          <w:b/>
          <w:bCs/>
          <w:color w:val="000000"/>
          <w:sz w:val="32"/>
          <w:szCs w:val="32"/>
        </w:rPr>
        <w:t>  </w:t>
      </w:r>
      <w:r>
        <w:rPr>
          <w:rFonts w:ascii="仿宋_GB2312" w:eastAsia="仿宋_GB2312" w:hAnsi="Arial" w:cs="Arial" w:hint="eastAsia"/>
          <w:color w:val="000000"/>
          <w:sz w:val="32"/>
          <w:szCs w:val="32"/>
        </w:rPr>
        <w:t>本办法所称非国有博物馆是指以教育、研究和欣赏为目的，收藏、保护并向公众展示人类活动和自然环境的见证物，由社会力量利用或主要利用非国有文物、标本、资料等资产设立，经登记管理机关依法登记的非营利组织。</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第二条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本市行政区域内民间收藏馆的设立、开放、管理、扶持等也可参照此办法执行。申请财政补助的民间收藏馆必须达到对外开放条件，并实施对外开放。</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lastRenderedPageBreak/>
        <w:t>第三条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优先鼓励发展具有门类特点、行业个性或展示地域文化、民族（民俗）文化的非国有博物馆，以及致力于抢救濒危历史见证物、填补领域空白的非国有博物馆。</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第四条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依法设立的非国有博物馆与国有博物馆享有同等法律地位，在行业准入、等级评估、职称评定、科研活动、陈列展览、学术交流、对外合作等方面，与国有博物馆享有同等待遇。</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黑体" w:eastAsia="黑体" w:hAnsi="黑体" w:cs="Arial" w:hint="eastAsia"/>
          <w:color w:val="000000"/>
          <w:sz w:val="32"/>
          <w:szCs w:val="32"/>
        </w:rPr>
        <w:t>第二章</w:t>
      </w:r>
      <w:r>
        <w:rPr>
          <w:rFonts w:ascii="Times New Roman" w:hAnsi="Times New Roman" w:cs="Times New Roman"/>
          <w:color w:val="000000"/>
          <w:sz w:val="32"/>
          <w:szCs w:val="32"/>
        </w:rPr>
        <w:t>  </w:t>
      </w:r>
      <w:r>
        <w:rPr>
          <w:rFonts w:ascii="黑体" w:eastAsia="黑体" w:hAnsi="黑体" w:cs="Arial" w:hint="eastAsia"/>
          <w:color w:val="000000"/>
          <w:sz w:val="32"/>
          <w:szCs w:val="32"/>
        </w:rPr>
        <w:t>设立、变更与终止</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第五条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非国有博物馆的设立应满足下列基本条件。</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（一）具有固定的馆址以及符合国家规定的展厅（室）、藏品保管场所。</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馆舍应参照《博物馆建筑设计规范》等国家和行业颁布的有关标准和规范的要求进行设计，其中展厅（室）面积不宜小于</w:t>
      </w:r>
      <w:r>
        <w:rPr>
          <w:rFonts w:ascii="Times New Roman" w:hAnsi="Times New Roman" w:cs="Times New Roman"/>
          <w:color w:val="000000"/>
          <w:sz w:val="32"/>
          <w:szCs w:val="32"/>
        </w:rPr>
        <w:t>300</w:t>
      </w:r>
      <w:r>
        <w:rPr>
          <w:rFonts w:ascii="仿宋_GB2312" w:eastAsia="仿宋_GB2312" w:hAnsi="Arial" w:cs="Arial" w:hint="eastAsia"/>
          <w:color w:val="000000"/>
          <w:sz w:val="32"/>
          <w:szCs w:val="32"/>
        </w:rPr>
        <w:t>平方米。依托历史建筑、故居、旧址等不可移动的文化遗产实物并以其原状陈列为主的博物馆，展厅（室）面积要求可适当放宽。</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不得租借其他博物馆作为办馆场地申请办馆。也不得使用其他不适合办馆</w:t>
      </w:r>
      <w:r>
        <w:rPr>
          <w:rFonts w:ascii="Times New Roman" w:hAnsi="Times New Roman" w:cs="Times New Roman"/>
          <w:color w:val="000000"/>
          <w:sz w:val="32"/>
          <w:szCs w:val="32"/>
        </w:rPr>
        <w:t>(</w:t>
      </w:r>
      <w:r>
        <w:rPr>
          <w:rFonts w:ascii="仿宋_GB2312" w:eastAsia="仿宋_GB2312" w:hAnsi="Arial" w:cs="Arial" w:hint="eastAsia"/>
          <w:color w:val="000000"/>
          <w:sz w:val="32"/>
          <w:szCs w:val="32"/>
        </w:rPr>
        <w:t>居民楼、餐饮及娱乐场所等</w:t>
      </w:r>
      <w:r>
        <w:rPr>
          <w:rFonts w:ascii="Times New Roman" w:hAnsi="Times New Roman" w:cs="Times New Roman"/>
          <w:color w:val="000000"/>
          <w:sz w:val="32"/>
          <w:szCs w:val="32"/>
        </w:rPr>
        <w:t>)</w:t>
      </w:r>
      <w:r>
        <w:rPr>
          <w:rFonts w:ascii="仿宋_GB2312" w:eastAsia="仿宋_GB2312" w:hAnsi="Arial" w:cs="Arial" w:hint="eastAsia"/>
          <w:color w:val="000000"/>
          <w:sz w:val="32"/>
          <w:szCs w:val="32"/>
        </w:rPr>
        <w:t>或有安全隐患的场地作为办馆场所。</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（二）具有与办馆宗旨相符合、构成体系的、有一定历史、科学和艺术价值的藏品及必要的研究资料。</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藏品应具有鲜明地域特点、显著行业特性或能够填补某一领域空白，数量不少于</w:t>
      </w:r>
      <w:r>
        <w:rPr>
          <w:rFonts w:ascii="Times New Roman" w:hAnsi="Times New Roman" w:cs="Times New Roman"/>
          <w:color w:val="000000"/>
          <w:sz w:val="32"/>
          <w:szCs w:val="32"/>
        </w:rPr>
        <w:t>150</w:t>
      </w:r>
      <w:r>
        <w:rPr>
          <w:rFonts w:ascii="仿宋_GB2312" w:eastAsia="仿宋_GB2312" w:hAnsi="Arial" w:cs="Arial" w:hint="eastAsia"/>
          <w:color w:val="000000"/>
          <w:sz w:val="32"/>
          <w:szCs w:val="32"/>
        </w:rPr>
        <w:t>件（套）。依托历史建筑、故居、旧址等不可移动的文化遗产实物并以其为主要保护、研究、展示内容的博物馆，以及以大体量实物收藏为主的博物馆，藏品数量要求可适当放宽。</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pacing w:val="-10"/>
          <w:sz w:val="32"/>
          <w:szCs w:val="32"/>
        </w:rPr>
        <w:t>（三）具有主题明确的基本陈列方案，展览内容应当科学准确。</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（四）具有与办馆规模和功能相适应的专业技术人员及管理人员。</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（五）具有标准规范的博物馆名称，名称应符合民政部《民办非企业单位名称管理暂行规定》有关要求。</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（六）必备的开放资金和稳定的经费来源。</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（七）具备符合开放条件的、完善的消防和安防设施及应急预案。</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鼓励单位或者个人结合重要近现代历史建筑保护申办设立非国有博物馆。对依托近现代历史建筑、旧址、故居等不可移动文化遗产实物</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并以其原状陈列为主的博物馆，展厅（展室）面积、藏品数量要求可适当放宽。</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第六条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非国有博物馆设立登记申报程序。</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（一）申办人（单位）向馆址所在县（区）民政部门申请非国有博物馆名称预核准。</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（二）申办人（单位）向市文化主管部门提出备案申请，并提交一式两份备案材料。</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（三）市文化（文物）行政主管部门受理备案材料后对备案材料进行评估，形成评估意见并上报省文物局。</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评估意见应包括对申请举办者拟纳入藏品序列的文物的合法性和真实性的审查结论，对来源不明或来源不合法的藏品不予登记确认，审查结论连同评估意见一起上报省文物局。</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（四）省文物局予以备案并出具备案确认书的申办人（单位），申办人（单位）持备案确认书及其他登记材料向馆址所在县（区）民政部门申请办理民办非企业单位法人登记。</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第七条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申请非国有博物馆设立备案，应提交下列材料：</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（一）非国有博物馆设立备案申请表。内容包括：博物馆名称、地址、举办者名称、藏品数量、人员数量、开办资金、基本陈列名称以及举办者的资格证明文件等。</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（二）非国有博物馆藏品清册和图录。内容应包括：名称、类别、年代、质地、数量、来源、图片等。</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（三）由公证机关出具的证明藏品清册和图录中所涉及的藏品均已作为拟申请设立博物馆的法人财产的公证文件。</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（四）非国有博物馆基本陈列方案。</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（五）办馆场所证明。馆舍如为非国有博物馆自有，须提供产权证明；如为租赁馆舍，应提交有效的使用证明。</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（六）非国有博物馆章程及验资报告。</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（七）公安、消防部门出具的办馆场所安全验收合格证明或消防备案受理凭证以及应急预案</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第八条</w:t>
      </w:r>
      <w:r>
        <w:rPr>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非国有博物馆变更、终止。</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非国有博物馆需终止的，通过市文物主管部门向省文物主管部门提交终止申请及藏品处置方案，方案备案后，应在市文物主管部门和其他相关部门的指导下，成立清算组织，完成清算工作。藏品在市文物主管部门监督下依照相关法律、行政法规及方案处置。相关博物馆在完成清算之日起</w:t>
      </w:r>
      <w:r>
        <w:rPr>
          <w:rFonts w:ascii="Times New Roman" w:hAnsi="Times New Roman" w:cs="Times New Roman"/>
          <w:color w:val="000000"/>
          <w:sz w:val="32"/>
          <w:szCs w:val="32"/>
        </w:rPr>
        <w:t>15</w:t>
      </w:r>
      <w:r>
        <w:rPr>
          <w:rFonts w:ascii="仿宋_GB2312" w:eastAsia="仿宋_GB2312" w:hAnsi="Arial" w:cs="Arial" w:hint="eastAsia"/>
          <w:color w:val="000000"/>
          <w:sz w:val="32"/>
          <w:szCs w:val="32"/>
        </w:rPr>
        <w:t>日内，依法向登记管理机关申请办理注销登记手续。</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非国有博物馆注销登记后，藏品处置涉及文物的，按照国家法律法规的有关规定办理。法律规定可以流通的藏品，允许其以法律规定的方式流通；依法不能流通的藏品，可以捐赠或有偿转让给其他博物馆。</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黑体" w:eastAsia="黑体" w:hAnsi="黑体" w:cs="Arial" w:hint="eastAsia"/>
          <w:color w:val="000000"/>
          <w:sz w:val="32"/>
          <w:szCs w:val="32"/>
        </w:rPr>
        <w:t>第三章</w:t>
      </w:r>
      <w:r>
        <w:rPr>
          <w:rFonts w:ascii="Times New Roman" w:hAnsi="Times New Roman" w:cs="Times New Roman"/>
          <w:color w:val="000000"/>
          <w:sz w:val="32"/>
          <w:szCs w:val="32"/>
        </w:rPr>
        <w:t>  </w:t>
      </w:r>
      <w:r>
        <w:rPr>
          <w:rFonts w:ascii="黑体" w:eastAsia="黑体" w:hAnsi="黑体" w:cs="Arial" w:hint="eastAsia"/>
          <w:color w:val="000000"/>
          <w:sz w:val="32"/>
          <w:szCs w:val="32"/>
        </w:rPr>
        <w:t>对外开放</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第九条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非国有博物馆未实行免费开放的，其门票、收费的项目和标准要按照国家有关规定执行，并对外公告。</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非国有博物馆应当对未成年人、成年学生、教师、老年人残疾人和军人等实行免费或其他优惠。</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第十条</w:t>
      </w:r>
      <w:r>
        <w:rPr>
          <w:rFonts w:ascii="Times New Roman" w:hAnsi="Times New Roman" w:cs="Times New Roman"/>
          <w:b/>
          <w:bCs/>
          <w:color w:val="000000"/>
          <w:sz w:val="32"/>
          <w:szCs w:val="32"/>
        </w:rPr>
        <w:t>  </w:t>
      </w:r>
      <w:r>
        <w:rPr>
          <w:rFonts w:ascii="仿宋_GB2312" w:eastAsia="仿宋_GB2312" w:hAnsi="Arial" w:cs="Arial" w:hint="eastAsia"/>
          <w:color w:val="000000"/>
          <w:sz w:val="32"/>
          <w:szCs w:val="32"/>
        </w:rPr>
        <w:t>非国有博物馆面向公众开放，应公告展览内容、服务项目和具体开放时间等，原则上全年开放时间不少于</w:t>
      </w:r>
      <w:r>
        <w:rPr>
          <w:rFonts w:ascii="Times New Roman" w:hAnsi="Times New Roman" w:cs="Times New Roman"/>
          <w:color w:val="000000"/>
          <w:sz w:val="32"/>
          <w:szCs w:val="32"/>
        </w:rPr>
        <w:t>8</w:t>
      </w:r>
      <w:r>
        <w:rPr>
          <w:rFonts w:ascii="仿宋_GB2312" w:eastAsia="仿宋_GB2312" w:hAnsi="Arial" w:cs="Arial" w:hint="eastAsia"/>
          <w:color w:val="000000"/>
          <w:sz w:val="32"/>
          <w:szCs w:val="32"/>
        </w:rPr>
        <w:t>个月。</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第十一条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陈列展览，展览主题和内容应当坚持维护国家安全与民族团结、弘扬爱国主义、倡导科学精神、普及科学知识、促进社会和谐，传承中华优秀传统文化，弘扬社会主义核心价值观，增强文化自信。采用多种形式提供科学、准确的文字说明和讲解。</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黑体" w:eastAsia="黑体" w:hAnsi="黑体" w:cs="Arial" w:hint="eastAsia"/>
          <w:color w:val="000000"/>
          <w:sz w:val="32"/>
          <w:szCs w:val="32"/>
        </w:rPr>
        <w:t>第四章</w:t>
      </w:r>
      <w:r>
        <w:rPr>
          <w:rFonts w:ascii="Times New Roman" w:hAnsi="Times New Roman" w:cs="Times New Roman"/>
          <w:color w:val="000000"/>
          <w:sz w:val="32"/>
          <w:szCs w:val="32"/>
        </w:rPr>
        <w:t>  </w:t>
      </w:r>
      <w:r>
        <w:rPr>
          <w:rFonts w:ascii="黑体" w:eastAsia="黑体" w:hAnsi="黑体" w:cs="Arial" w:hint="eastAsia"/>
          <w:color w:val="000000"/>
          <w:sz w:val="32"/>
          <w:szCs w:val="32"/>
        </w:rPr>
        <w:t>藏品</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第十二条</w:t>
      </w:r>
      <w:r>
        <w:rPr>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非国有博物馆可以通过购买、接受捐赠、依法交换等法律、法规规定的方式取得藏品，不得取得来源不明或者不合法的藏品。</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鼓励企业、事业单位、社会团体及个人依法向非国有博物馆提供捐赠。</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第十三条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对于拟申请设立的非国有博物馆，市文物主管部门要指导举办者在设立阶段完成与办馆宗旨、业务范围和馆舍规模相适应的藏品登记，登记的藏品应依照法定程序确认为其申请设立博物馆的法人财产；对于尚未完成藏品登记确权的非国有博物馆，市文物主管部门应指导其补充完成藏品的登记和确权工作。</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黑体" w:eastAsia="黑体" w:hAnsi="黑体" w:cs="Arial" w:hint="eastAsia"/>
          <w:color w:val="000000"/>
          <w:sz w:val="32"/>
          <w:szCs w:val="32"/>
        </w:rPr>
        <w:lastRenderedPageBreak/>
        <w:t>第五章</w:t>
      </w:r>
      <w:r>
        <w:rPr>
          <w:rFonts w:ascii="Times New Roman" w:hAnsi="Times New Roman" w:cs="Times New Roman"/>
          <w:color w:val="000000"/>
          <w:sz w:val="32"/>
          <w:szCs w:val="32"/>
        </w:rPr>
        <w:t>  </w:t>
      </w:r>
      <w:r>
        <w:rPr>
          <w:rFonts w:ascii="黑体" w:eastAsia="黑体" w:hAnsi="黑体" w:cs="Arial" w:hint="eastAsia"/>
          <w:color w:val="000000"/>
          <w:sz w:val="32"/>
          <w:szCs w:val="32"/>
        </w:rPr>
        <w:t>奖惩措施</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第十四条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对实行免费开放的非国有博物馆，可根据展览面积、藏品数量、免费开放天数、年参观人次等指标，采取因素分配法并结合专项资金管理办法一次性给予不同标准的奖励补助，补助上限不超过</w:t>
      </w:r>
      <w:r>
        <w:rPr>
          <w:rFonts w:ascii="Times New Roman" w:hAnsi="Times New Roman" w:cs="Times New Roman"/>
          <w:color w:val="000000"/>
          <w:sz w:val="32"/>
          <w:szCs w:val="32"/>
        </w:rPr>
        <w:t>5</w:t>
      </w:r>
      <w:r>
        <w:rPr>
          <w:rFonts w:ascii="仿宋_GB2312" w:eastAsia="仿宋_GB2312" w:hAnsi="Arial" w:cs="Arial" w:hint="eastAsia"/>
          <w:color w:val="000000"/>
          <w:sz w:val="32"/>
          <w:szCs w:val="32"/>
        </w:rPr>
        <w:t>万元。</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第十五条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对实行免费开放的非国有博物馆，更新展陈面积</w:t>
      </w:r>
      <w:r>
        <w:rPr>
          <w:rFonts w:ascii="Times New Roman" w:hAnsi="Times New Roman" w:cs="Times New Roman"/>
          <w:color w:val="000000"/>
          <w:sz w:val="32"/>
          <w:szCs w:val="32"/>
        </w:rPr>
        <w:t>200</w:t>
      </w:r>
      <w:r>
        <w:rPr>
          <w:rFonts w:ascii="仿宋_GB2312" w:eastAsia="仿宋_GB2312" w:hAnsi="Arial" w:cs="Arial" w:hint="eastAsia"/>
          <w:color w:val="000000"/>
          <w:sz w:val="32"/>
          <w:szCs w:val="32"/>
        </w:rPr>
        <w:t>平方米以上的（更换展陈文物</w:t>
      </w:r>
      <w:r>
        <w:rPr>
          <w:rFonts w:ascii="Times New Roman" w:hAnsi="Times New Roman" w:cs="Times New Roman"/>
          <w:color w:val="000000"/>
          <w:sz w:val="32"/>
          <w:szCs w:val="32"/>
        </w:rPr>
        <w:t>50%</w:t>
      </w:r>
      <w:r>
        <w:rPr>
          <w:rFonts w:ascii="仿宋_GB2312" w:eastAsia="仿宋_GB2312" w:hAnsi="Arial" w:cs="Arial" w:hint="eastAsia"/>
          <w:color w:val="000000"/>
          <w:sz w:val="32"/>
          <w:szCs w:val="32"/>
        </w:rPr>
        <w:t>以上），经审核认定，可给予投入资金额</w:t>
      </w:r>
      <w:r>
        <w:rPr>
          <w:rFonts w:ascii="Times New Roman" w:hAnsi="Times New Roman" w:cs="Times New Roman"/>
          <w:color w:val="000000"/>
          <w:sz w:val="32"/>
          <w:szCs w:val="32"/>
        </w:rPr>
        <w:t>10%</w:t>
      </w:r>
      <w:r>
        <w:rPr>
          <w:rFonts w:ascii="仿宋_GB2312" w:eastAsia="仿宋_GB2312" w:hAnsi="Arial" w:cs="Arial" w:hint="eastAsia"/>
          <w:color w:val="000000"/>
          <w:sz w:val="32"/>
          <w:szCs w:val="32"/>
        </w:rPr>
        <w:t>的补助，补助上限不超过</w:t>
      </w:r>
      <w:r>
        <w:rPr>
          <w:rFonts w:ascii="Times New Roman" w:hAnsi="Times New Roman" w:cs="Times New Roman"/>
          <w:color w:val="000000"/>
          <w:sz w:val="32"/>
          <w:szCs w:val="32"/>
        </w:rPr>
        <w:t>10</w:t>
      </w:r>
      <w:r>
        <w:rPr>
          <w:rFonts w:ascii="仿宋_GB2312" w:eastAsia="仿宋_GB2312" w:hAnsi="Arial" w:cs="Arial" w:hint="eastAsia"/>
          <w:color w:val="000000"/>
          <w:sz w:val="32"/>
          <w:szCs w:val="32"/>
        </w:rPr>
        <w:t>万元。</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第十六条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非国有博物馆有下列行为之一的，由市文物行政主管部门责令改正，情节严重的，由登记管理机关依法撤销登记：</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（一）在博物馆申请设立过程中弄虚作假的；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（二）取得博物馆法人资格后</w:t>
      </w:r>
      <w:r>
        <w:rPr>
          <w:rFonts w:ascii="Times New Roman" w:hAnsi="Times New Roman" w:cs="Times New Roman"/>
          <w:color w:val="000000"/>
          <w:sz w:val="32"/>
          <w:szCs w:val="32"/>
        </w:rPr>
        <w:t>6</w:t>
      </w:r>
      <w:r>
        <w:rPr>
          <w:rFonts w:ascii="仿宋_GB2312" w:eastAsia="仿宋_GB2312" w:hAnsi="Arial" w:cs="Arial" w:hint="eastAsia"/>
          <w:color w:val="000000"/>
          <w:sz w:val="32"/>
          <w:szCs w:val="32"/>
        </w:rPr>
        <w:t>个月内不对公众开放的；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（三）无正当理由博物馆年开放时间少于</w:t>
      </w:r>
      <w:r>
        <w:rPr>
          <w:rFonts w:ascii="Times New Roman" w:hAnsi="Times New Roman" w:cs="Times New Roman"/>
          <w:color w:val="000000"/>
          <w:sz w:val="32"/>
          <w:szCs w:val="32"/>
        </w:rPr>
        <w:t>8</w:t>
      </w:r>
      <w:r>
        <w:rPr>
          <w:rFonts w:ascii="仿宋_GB2312" w:eastAsia="仿宋_GB2312" w:hAnsi="Arial" w:cs="Arial" w:hint="eastAsia"/>
          <w:color w:val="000000"/>
          <w:sz w:val="32"/>
          <w:szCs w:val="32"/>
        </w:rPr>
        <w:t>个月的；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（四）擅自改变博物馆土地性质的；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（五）从事博物馆藏品拍卖、销售等相关经营活动的；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（六）</w:t>
      </w:r>
      <w:r>
        <w:rPr>
          <w:rFonts w:ascii="仿宋_GB2312" w:eastAsia="仿宋_GB2312" w:hAnsi="Arial" w:cs="Arial" w:hint="eastAsia"/>
          <w:color w:val="000000"/>
          <w:spacing w:val="-10"/>
          <w:sz w:val="32"/>
          <w:szCs w:val="32"/>
        </w:rPr>
        <w:t>从事其他商业经营活动违反办馆宗旨、损害公众利益的；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（七）藏品取得来源不明或者来源不合法的；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（八）陈列展览的主题、内容造成恶劣社会影响的；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（九）博物馆举办者或工作人员侵占博物馆资产的；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（十）出现重大文物安全责任事故的；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（十一）违反《民办非企业单位登记管理暂行条例》相关规定的；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color w:val="000000"/>
          <w:sz w:val="32"/>
          <w:szCs w:val="32"/>
        </w:rPr>
        <w:t>（十二）拒不履行本办法其他规定的。</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第十七条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造成非国有博物馆藏品损毁或流失的，依法追究有关责任人的行政责任和民事责任；涉嫌犯罪的，依法移送司法机关处理。</w:t>
      </w:r>
    </w:p>
    <w:p w:rsidR="00585EF6" w:rsidRDefault="00585EF6" w:rsidP="00585EF6">
      <w:pPr>
        <w:pStyle w:val="p0"/>
        <w:shd w:val="clear" w:color="auto" w:fill="FFFFFF"/>
        <w:spacing w:before="0" w:beforeAutospacing="0" w:after="0" w:afterAutospacing="0" w:line="576" w:lineRule="atLeast"/>
        <w:jc w:val="center"/>
        <w:rPr>
          <w:rFonts w:ascii="Arial" w:hAnsi="Arial" w:cs="Arial"/>
          <w:color w:val="000000"/>
          <w:sz w:val="21"/>
          <w:szCs w:val="21"/>
        </w:rPr>
      </w:pPr>
      <w:r>
        <w:rPr>
          <w:rFonts w:ascii="黑体" w:eastAsia="黑体" w:hAnsi="黑体" w:cs="Arial" w:hint="eastAsia"/>
          <w:color w:val="000000"/>
          <w:sz w:val="32"/>
          <w:szCs w:val="32"/>
        </w:rPr>
        <w:t>第六章</w:t>
      </w:r>
      <w:r>
        <w:rPr>
          <w:rFonts w:ascii="Times New Roman" w:hAnsi="Times New Roman" w:cs="Times New Roman"/>
          <w:color w:val="000000"/>
          <w:sz w:val="32"/>
          <w:szCs w:val="32"/>
        </w:rPr>
        <w:t>  </w:t>
      </w:r>
      <w:r>
        <w:rPr>
          <w:rFonts w:ascii="黑体" w:eastAsia="黑体" w:hAnsi="黑体" w:cs="Arial" w:hint="eastAsia"/>
          <w:color w:val="000000"/>
          <w:sz w:val="32"/>
          <w:szCs w:val="32"/>
        </w:rPr>
        <w:t>组织管理</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第十八条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应按年度公布其年度报告，主动接受社会监督。年度报告内容包括有关法律、法规和博物馆章程执行情况，藏品、展览、人员和机构变动情况，以及社会教育和服务、学术研究、文物保护、安全管理等情况。</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第十九条</w:t>
      </w:r>
      <w:r>
        <w:rPr>
          <w:rFonts w:ascii="Times New Roman" w:hAnsi="Times New Roman" w:cs="Times New Roman"/>
          <w:b/>
          <w:bCs/>
          <w:color w:val="000000"/>
          <w:sz w:val="32"/>
          <w:szCs w:val="32"/>
        </w:rPr>
        <w:t>  </w:t>
      </w:r>
      <w:r>
        <w:rPr>
          <w:rFonts w:ascii="仿宋_GB2312" w:eastAsia="仿宋_GB2312" w:hAnsi="Arial" w:cs="Arial" w:hint="eastAsia"/>
          <w:color w:val="000000"/>
          <w:sz w:val="32"/>
          <w:szCs w:val="32"/>
        </w:rPr>
        <w:t>各县（区）民政部门是非国有博物馆的登记管理机关，负责非国有博物馆的成立、变更、注销登记；对非国有博物馆违反相关法律法规问题进行监督检查，并对非国有博物馆违反有关法律法规的行为给予行政处罚。</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第二十条</w:t>
      </w:r>
      <w:r>
        <w:rPr>
          <w:rFonts w:ascii="Times New Roman" w:hAnsi="Times New Roman" w:cs="Times New Roman"/>
          <w:b/>
          <w:bCs/>
          <w:color w:val="000000"/>
          <w:sz w:val="32"/>
          <w:szCs w:val="32"/>
        </w:rPr>
        <w:t>  </w:t>
      </w:r>
      <w:r>
        <w:rPr>
          <w:rFonts w:ascii="仿宋_GB2312" w:eastAsia="仿宋_GB2312" w:hAnsi="Arial" w:cs="Arial" w:hint="eastAsia"/>
          <w:color w:val="000000"/>
          <w:sz w:val="32"/>
          <w:szCs w:val="32"/>
        </w:rPr>
        <w:t>市文化（文物）行政主管部门是非国有博物馆的业务主管单位，应监督、指导非国有博物馆遵守法律、法规和行业准则，按照章程开展日常业务活动；负责</w:t>
      </w:r>
      <w:r>
        <w:rPr>
          <w:rFonts w:ascii="仿宋_GB2312" w:eastAsia="仿宋_GB2312" w:hAnsi="Arial" w:cs="Arial" w:hint="eastAsia"/>
          <w:color w:val="000000"/>
          <w:sz w:val="32"/>
          <w:szCs w:val="32"/>
        </w:rPr>
        <w:lastRenderedPageBreak/>
        <w:t>非国有博物馆年度检查的初审，并协助登记管理机关和其他有关部门查处非国有博物馆的违法违规行为。</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第二十一条</w:t>
      </w:r>
      <w:r>
        <w:rPr>
          <w:rFonts w:ascii="Times New Roman" w:hAnsi="Times New Roman" w:cs="Times New Roman"/>
          <w:b/>
          <w:bCs/>
          <w:color w:val="000000"/>
          <w:sz w:val="32"/>
          <w:szCs w:val="32"/>
        </w:rPr>
        <w:t>  </w:t>
      </w:r>
      <w:r>
        <w:rPr>
          <w:rFonts w:ascii="仿宋_GB2312" w:eastAsia="仿宋_GB2312" w:hAnsi="Arial" w:cs="Arial" w:hint="eastAsia"/>
          <w:color w:val="000000"/>
          <w:spacing w:val="-6"/>
          <w:sz w:val="32"/>
          <w:szCs w:val="32"/>
        </w:rPr>
        <w:t>市文化（文物）行政主管部门和财政部门，按照公平、公正、公开的原则，通过资料审查、现场核查、专家评估等方式，对非国有博物馆申请资金补助等事项进行综合评审认定。在其他市级专项资金中已获得相应资金补助的，不再重复补助。</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第二十二条</w:t>
      </w:r>
      <w:r>
        <w:rPr>
          <w:rFonts w:ascii="Times New Roman" w:hAnsi="Times New Roman" w:cs="Times New Roman"/>
          <w:color w:val="000000"/>
          <w:sz w:val="32"/>
          <w:szCs w:val="32"/>
        </w:rPr>
        <w:t>  </w:t>
      </w:r>
      <w:r>
        <w:rPr>
          <w:rFonts w:ascii="仿宋_GB2312" w:eastAsia="仿宋_GB2312" w:hAnsi="Arial" w:cs="Arial" w:hint="eastAsia"/>
          <w:color w:val="000000"/>
          <w:sz w:val="32"/>
          <w:szCs w:val="32"/>
        </w:rPr>
        <w:t>非国有博物馆应严格遵守《中华人民共和国文物保护法》、《中华人民共和国公共文化服务保障法》、《博物馆条例》、《民办非企业单位登记管理暂行条例》等有关法律法规，建立健全规章制度，切实加强对藏品、展览、教育活动、人事、财务等方面的规范管理，树立法治思维，依法依规办馆，独立承担法律责任。不得从事文物等藏品的商业经营活动。</w:t>
      </w:r>
    </w:p>
    <w:p w:rsidR="00585EF6" w:rsidRDefault="00585EF6" w:rsidP="00585EF6">
      <w:pPr>
        <w:pStyle w:val="p0"/>
        <w:shd w:val="clear" w:color="auto" w:fill="FFFFFF"/>
        <w:spacing w:before="0" w:beforeAutospacing="0" w:after="0" w:afterAutospacing="0" w:line="576" w:lineRule="atLeast"/>
        <w:ind w:firstLine="640"/>
        <w:rPr>
          <w:rFonts w:ascii="Arial" w:hAnsi="Arial" w:cs="Arial"/>
          <w:color w:val="000000"/>
          <w:sz w:val="21"/>
          <w:szCs w:val="21"/>
        </w:rPr>
      </w:pPr>
      <w:r>
        <w:rPr>
          <w:rFonts w:ascii="仿宋_GB2312" w:eastAsia="仿宋_GB2312" w:hAnsi="Arial" w:cs="Arial" w:hint="eastAsia"/>
          <w:b/>
          <w:bCs/>
          <w:color w:val="000000"/>
          <w:sz w:val="32"/>
          <w:szCs w:val="32"/>
        </w:rPr>
        <w:t>第二十三条（附则）</w:t>
      </w:r>
      <w:r>
        <w:rPr>
          <w:rFonts w:ascii="仿宋_GB2312" w:eastAsia="仿宋_GB2312" w:hAnsi="Arial" w:cs="Arial" w:hint="eastAsia"/>
          <w:color w:val="000000"/>
          <w:sz w:val="32"/>
          <w:szCs w:val="32"/>
        </w:rPr>
        <w:t>本办法自发布之日起实施。</w:t>
      </w:r>
    </w:p>
    <w:p w:rsidR="007A4021" w:rsidRDefault="007A4021">
      <w:bookmarkStart w:id="0" w:name="_GoBack"/>
      <w:bookmarkEnd w:id="0"/>
    </w:p>
    <w:sectPr w:rsidR="007A4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23"/>
    <w:rsid w:val="00585EF6"/>
    <w:rsid w:val="007A4021"/>
    <w:rsid w:val="00EA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3D9A-644C-4E07-B305-D9D65ADE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85E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569</Words>
  <Characters>3248</Characters>
  <Application>Microsoft Office Word</Application>
  <DocSecurity>0</DocSecurity>
  <Lines>27</Lines>
  <Paragraphs>7</Paragraphs>
  <ScaleCrop>false</ScaleCrop>
  <Company>微软中国</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2019-01-26T03:13:00Z</dcterms:created>
  <dcterms:modified xsi:type="dcterms:W3CDTF">2019-01-26T03:13:00Z</dcterms:modified>
</cp:coreProperties>
</file>