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6" w:space="0" w:color="DBDBDB"/>
          <w:left w:val="single" w:sz="6" w:space="0" w:color="DBDBDB"/>
          <w:bottom w:val="single" w:sz="6" w:space="0" w:color="DBDBDB"/>
          <w:right w:val="single" w:sz="6" w:space="0" w:color="DBDBDB"/>
        </w:tblBorders>
        <w:tblCellMar>
          <w:left w:w="0" w:type="dxa"/>
          <w:right w:w="0" w:type="dxa"/>
        </w:tblCellMar>
        <w:tblLook w:val="04A0" w:firstRow="1" w:lastRow="0" w:firstColumn="1" w:lastColumn="0" w:noHBand="0" w:noVBand="1"/>
      </w:tblPr>
      <w:tblGrid>
        <w:gridCol w:w="8290"/>
      </w:tblGrid>
      <w:tr w:rsidR="00D472CE" w:rsidRPr="00D472CE" w:rsidTr="00D472CE">
        <w:tc>
          <w:tcPr>
            <w:tcW w:w="0" w:type="auto"/>
            <w:vAlign w:val="center"/>
            <w:hideMark/>
          </w:tcPr>
          <w:tbl>
            <w:tblPr>
              <w:tblW w:w="4750" w:type="pct"/>
              <w:tblCellMar>
                <w:left w:w="0" w:type="dxa"/>
                <w:right w:w="0" w:type="dxa"/>
              </w:tblCellMar>
              <w:tblLook w:val="04A0" w:firstRow="1" w:lastRow="0" w:firstColumn="1" w:lastColumn="0" w:noHBand="0" w:noVBand="1"/>
            </w:tblPr>
            <w:tblGrid>
              <w:gridCol w:w="769"/>
              <w:gridCol w:w="2330"/>
              <w:gridCol w:w="770"/>
              <w:gridCol w:w="1755"/>
              <w:gridCol w:w="770"/>
              <w:gridCol w:w="1467"/>
            </w:tblGrid>
            <w:tr w:rsidR="00D472CE" w:rsidRPr="00D472CE">
              <w:tc>
                <w:tcPr>
                  <w:tcW w:w="1200" w:type="dxa"/>
                  <w:vAlign w:val="center"/>
                  <w:hideMark/>
                </w:tcPr>
                <w:p w:rsidR="00D472CE" w:rsidRPr="00D472CE" w:rsidRDefault="00D472CE" w:rsidP="00D472CE">
                  <w:pPr>
                    <w:widowControl/>
                    <w:spacing w:line="360" w:lineRule="atLeast"/>
                    <w:jc w:val="left"/>
                    <w:rPr>
                      <w:rFonts w:ascii="宋体" w:eastAsia="宋体" w:hAnsi="宋体" w:cs="宋体"/>
                      <w:kern w:val="0"/>
                      <w:sz w:val="24"/>
                      <w:szCs w:val="24"/>
                    </w:rPr>
                  </w:pPr>
                  <w:r w:rsidRPr="00D472CE">
                    <w:rPr>
                      <w:rFonts w:ascii="宋体" w:eastAsia="宋体" w:hAnsi="宋体" w:cs="宋体"/>
                      <w:b/>
                      <w:bCs/>
                      <w:kern w:val="0"/>
                      <w:sz w:val="24"/>
                      <w:szCs w:val="24"/>
                    </w:rPr>
                    <w:t>索 引 号：</w:t>
                  </w:r>
                </w:p>
              </w:tc>
              <w:tc>
                <w:tcPr>
                  <w:tcW w:w="3300" w:type="dxa"/>
                  <w:vAlign w:val="center"/>
                  <w:hideMark/>
                </w:tcPr>
                <w:p w:rsidR="00D472CE" w:rsidRPr="00D472CE" w:rsidRDefault="00D472CE" w:rsidP="00D472CE">
                  <w:pPr>
                    <w:widowControl/>
                    <w:spacing w:line="360" w:lineRule="atLeast"/>
                    <w:jc w:val="left"/>
                    <w:rPr>
                      <w:rFonts w:ascii="宋体" w:eastAsia="宋体" w:hAnsi="宋体" w:cs="宋体"/>
                      <w:kern w:val="0"/>
                      <w:sz w:val="24"/>
                      <w:szCs w:val="24"/>
                    </w:rPr>
                  </w:pPr>
                  <w:r w:rsidRPr="00D472CE">
                    <w:rPr>
                      <w:rFonts w:ascii="宋体" w:eastAsia="宋体" w:hAnsi="宋体" w:cs="宋体"/>
                      <w:kern w:val="0"/>
                      <w:sz w:val="24"/>
                      <w:szCs w:val="24"/>
                    </w:rPr>
                    <w:t>43060001/2016-526012</w:t>
                  </w:r>
                </w:p>
              </w:tc>
              <w:tc>
                <w:tcPr>
                  <w:tcW w:w="1200" w:type="dxa"/>
                  <w:vAlign w:val="center"/>
                  <w:hideMark/>
                </w:tcPr>
                <w:p w:rsidR="00D472CE" w:rsidRPr="00D472CE" w:rsidRDefault="00D472CE" w:rsidP="00D472CE">
                  <w:pPr>
                    <w:widowControl/>
                    <w:spacing w:line="360" w:lineRule="atLeast"/>
                    <w:jc w:val="left"/>
                    <w:rPr>
                      <w:rFonts w:ascii="宋体" w:eastAsia="宋体" w:hAnsi="宋体" w:cs="宋体"/>
                      <w:kern w:val="0"/>
                      <w:sz w:val="24"/>
                      <w:szCs w:val="24"/>
                    </w:rPr>
                  </w:pPr>
                  <w:r w:rsidRPr="00D472CE">
                    <w:rPr>
                      <w:rFonts w:ascii="宋体" w:eastAsia="宋体" w:hAnsi="宋体" w:cs="宋体"/>
                      <w:b/>
                      <w:bCs/>
                      <w:kern w:val="0"/>
                      <w:sz w:val="24"/>
                      <w:szCs w:val="24"/>
                    </w:rPr>
                    <w:t>发布机构：</w:t>
                  </w:r>
                </w:p>
              </w:tc>
              <w:tc>
                <w:tcPr>
                  <w:tcW w:w="3300" w:type="dxa"/>
                  <w:vAlign w:val="center"/>
                  <w:hideMark/>
                </w:tcPr>
                <w:p w:rsidR="00D472CE" w:rsidRPr="00D472CE" w:rsidRDefault="00D472CE" w:rsidP="00D472CE">
                  <w:pPr>
                    <w:widowControl/>
                    <w:spacing w:line="360" w:lineRule="atLeast"/>
                    <w:jc w:val="left"/>
                    <w:rPr>
                      <w:rFonts w:ascii="宋体" w:eastAsia="宋体" w:hAnsi="宋体" w:cs="宋体"/>
                      <w:kern w:val="0"/>
                      <w:sz w:val="24"/>
                      <w:szCs w:val="24"/>
                    </w:rPr>
                  </w:pPr>
                  <w:r w:rsidRPr="00D472CE">
                    <w:rPr>
                      <w:rFonts w:ascii="宋体" w:eastAsia="宋体" w:hAnsi="宋体" w:cs="宋体"/>
                      <w:kern w:val="0"/>
                      <w:sz w:val="24"/>
                      <w:szCs w:val="24"/>
                    </w:rPr>
                    <w:t>岳阳市人民政府办公室</w:t>
                  </w:r>
                </w:p>
              </w:tc>
              <w:tc>
                <w:tcPr>
                  <w:tcW w:w="1200" w:type="dxa"/>
                  <w:vAlign w:val="center"/>
                  <w:hideMark/>
                </w:tcPr>
                <w:p w:rsidR="00D472CE" w:rsidRPr="00D472CE" w:rsidRDefault="00D472CE" w:rsidP="00D472CE">
                  <w:pPr>
                    <w:widowControl/>
                    <w:spacing w:line="360" w:lineRule="atLeast"/>
                    <w:jc w:val="left"/>
                    <w:rPr>
                      <w:rFonts w:ascii="宋体" w:eastAsia="宋体" w:hAnsi="宋体" w:cs="宋体"/>
                      <w:kern w:val="0"/>
                      <w:sz w:val="24"/>
                      <w:szCs w:val="24"/>
                    </w:rPr>
                  </w:pPr>
                  <w:r w:rsidRPr="00D472CE">
                    <w:rPr>
                      <w:rFonts w:ascii="宋体" w:eastAsia="宋体" w:hAnsi="宋体" w:cs="宋体"/>
                      <w:b/>
                      <w:bCs/>
                      <w:kern w:val="0"/>
                      <w:sz w:val="24"/>
                      <w:szCs w:val="24"/>
                    </w:rPr>
                    <w:t>信息状态：</w:t>
                  </w:r>
                </w:p>
              </w:tc>
              <w:tc>
                <w:tcPr>
                  <w:tcW w:w="3300" w:type="dxa"/>
                  <w:vAlign w:val="center"/>
                  <w:hideMark/>
                </w:tcPr>
                <w:p w:rsidR="00D472CE" w:rsidRPr="00D472CE" w:rsidRDefault="00D472CE" w:rsidP="00D472CE">
                  <w:pPr>
                    <w:widowControl/>
                    <w:spacing w:line="360" w:lineRule="atLeast"/>
                    <w:jc w:val="left"/>
                    <w:rPr>
                      <w:rFonts w:ascii="宋体" w:eastAsia="宋体" w:hAnsi="宋体" w:cs="宋体"/>
                      <w:kern w:val="0"/>
                      <w:sz w:val="24"/>
                      <w:szCs w:val="24"/>
                    </w:rPr>
                  </w:pPr>
                  <w:r w:rsidRPr="00D472CE">
                    <w:rPr>
                      <w:rFonts w:ascii="宋体" w:eastAsia="宋体" w:hAnsi="宋体" w:cs="宋体"/>
                      <w:kern w:val="0"/>
                      <w:sz w:val="24"/>
                      <w:szCs w:val="24"/>
                    </w:rPr>
                    <w:t>有效</w:t>
                  </w:r>
                </w:p>
              </w:tc>
            </w:tr>
            <w:tr w:rsidR="00D472CE" w:rsidRPr="00D472CE">
              <w:tc>
                <w:tcPr>
                  <w:tcW w:w="1200" w:type="dxa"/>
                  <w:vAlign w:val="center"/>
                  <w:hideMark/>
                </w:tcPr>
                <w:p w:rsidR="00D472CE" w:rsidRPr="00D472CE" w:rsidRDefault="00D472CE" w:rsidP="00D472CE">
                  <w:pPr>
                    <w:widowControl/>
                    <w:spacing w:line="360" w:lineRule="atLeast"/>
                    <w:jc w:val="left"/>
                    <w:rPr>
                      <w:rFonts w:ascii="宋体" w:eastAsia="宋体" w:hAnsi="宋体" w:cs="宋体"/>
                      <w:kern w:val="0"/>
                      <w:sz w:val="24"/>
                      <w:szCs w:val="24"/>
                    </w:rPr>
                  </w:pPr>
                  <w:r w:rsidRPr="00D472CE">
                    <w:rPr>
                      <w:rFonts w:ascii="宋体" w:eastAsia="宋体" w:hAnsi="宋体" w:cs="宋体"/>
                      <w:b/>
                      <w:bCs/>
                      <w:kern w:val="0"/>
                      <w:sz w:val="24"/>
                      <w:szCs w:val="24"/>
                    </w:rPr>
                    <w:t>文　　号：</w:t>
                  </w:r>
                </w:p>
              </w:tc>
              <w:tc>
                <w:tcPr>
                  <w:tcW w:w="3300" w:type="dxa"/>
                  <w:vAlign w:val="center"/>
                  <w:hideMark/>
                </w:tcPr>
                <w:p w:rsidR="00D472CE" w:rsidRPr="00D472CE" w:rsidRDefault="00D472CE" w:rsidP="00D472CE">
                  <w:pPr>
                    <w:widowControl/>
                    <w:spacing w:line="360" w:lineRule="atLeast"/>
                    <w:jc w:val="left"/>
                    <w:rPr>
                      <w:rFonts w:ascii="宋体" w:eastAsia="宋体" w:hAnsi="宋体" w:cs="宋体"/>
                      <w:kern w:val="0"/>
                      <w:sz w:val="24"/>
                      <w:szCs w:val="24"/>
                    </w:rPr>
                  </w:pPr>
                  <w:r w:rsidRPr="00D472CE">
                    <w:rPr>
                      <w:rFonts w:ascii="宋体" w:eastAsia="宋体" w:hAnsi="宋体" w:cs="宋体"/>
                      <w:kern w:val="0"/>
                      <w:sz w:val="24"/>
                      <w:szCs w:val="24"/>
                    </w:rPr>
                    <w:t>岳政办发〔2016〕1号</w:t>
                  </w:r>
                </w:p>
              </w:tc>
              <w:tc>
                <w:tcPr>
                  <w:tcW w:w="1050" w:type="dxa"/>
                  <w:vAlign w:val="center"/>
                  <w:hideMark/>
                </w:tcPr>
                <w:p w:rsidR="00D472CE" w:rsidRPr="00D472CE" w:rsidRDefault="00D472CE" w:rsidP="00D472CE">
                  <w:pPr>
                    <w:widowControl/>
                    <w:spacing w:line="360" w:lineRule="atLeast"/>
                    <w:jc w:val="left"/>
                    <w:rPr>
                      <w:rFonts w:ascii="宋体" w:eastAsia="宋体" w:hAnsi="宋体" w:cs="宋体"/>
                      <w:kern w:val="0"/>
                      <w:sz w:val="24"/>
                      <w:szCs w:val="24"/>
                    </w:rPr>
                  </w:pPr>
                  <w:r w:rsidRPr="00D472CE">
                    <w:rPr>
                      <w:rFonts w:ascii="宋体" w:eastAsia="宋体" w:hAnsi="宋体" w:cs="宋体"/>
                      <w:b/>
                      <w:bCs/>
                      <w:kern w:val="0"/>
                      <w:sz w:val="24"/>
                      <w:szCs w:val="24"/>
                    </w:rPr>
                    <w:t>统一登记号：</w:t>
                  </w:r>
                </w:p>
              </w:tc>
              <w:tc>
                <w:tcPr>
                  <w:tcW w:w="3300" w:type="dxa"/>
                  <w:vAlign w:val="center"/>
                  <w:hideMark/>
                </w:tcPr>
                <w:p w:rsidR="00D472CE" w:rsidRPr="00D472CE" w:rsidRDefault="00D472CE" w:rsidP="00D472CE">
                  <w:pPr>
                    <w:widowControl/>
                    <w:spacing w:line="360" w:lineRule="atLeast"/>
                    <w:jc w:val="left"/>
                    <w:rPr>
                      <w:rFonts w:ascii="宋体" w:eastAsia="宋体" w:hAnsi="宋体" w:cs="宋体"/>
                      <w:kern w:val="0"/>
                      <w:sz w:val="24"/>
                      <w:szCs w:val="24"/>
                    </w:rPr>
                  </w:pPr>
                  <w:r w:rsidRPr="00D472CE">
                    <w:rPr>
                      <w:rFonts w:ascii="宋体" w:eastAsia="宋体" w:hAnsi="宋体" w:cs="宋体"/>
                      <w:kern w:val="0"/>
                      <w:sz w:val="24"/>
                      <w:szCs w:val="24"/>
                    </w:rPr>
                    <w:t>YYCR—2016—01001</w:t>
                  </w:r>
                </w:p>
              </w:tc>
              <w:tc>
                <w:tcPr>
                  <w:tcW w:w="1200" w:type="dxa"/>
                  <w:vAlign w:val="center"/>
                  <w:hideMark/>
                </w:tcPr>
                <w:p w:rsidR="00D472CE" w:rsidRPr="00D472CE" w:rsidRDefault="00D472CE" w:rsidP="00D472CE">
                  <w:pPr>
                    <w:widowControl/>
                    <w:spacing w:line="360" w:lineRule="atLeast"/>
                    <w:jc w:val="left"/>
                    <w:rPr>
                      <w:rFonts w:ascii="宋体" w:eastAsia="宋体" w:hAnsi="宋体" w:cs="宋体"/>
                      <w:kern w:val="0"/>
                      <w:sz w:val="24"/>
                      <w:szCs w:val="24"/>
                    </w:rPr>
                  </w:pPr>
                  <w:r w:rsidRPr="00D472CE">
                    <w:rPr>
                      <w:rFonts w:ascii="宋体" w:eastAsia="宋体" w:hAnsi="宋体" w:cs="宋体"/>
                      <w:b/>
                      <w:bCs/>
                      <w:kern w:val="0"/>
                      <w:sz w:val="24"/>
                      <w:szCs w:val="24"/>
                    </w:rPr>
                    <w:t>公开范围：</w:t>
                  </w:r>
                </w:p>
              </w:tc>
              <w:tc>
                <w:tcPr>
                  <w:tcW w:w="3300" w:type="dxa"/>
                  <w:vAlign w:val="center"/>
                  <w:hideMark/>
                </w:tcPr>
                <w:p w:rsidR="00D472CE" w:rsidRPr="00D472CE" w:rsidRDefault="00D472CE" w:rsidP="00D472CE">
                  <w:pPr>
                    <w:widowControl/>
                    <w:spacing w:line="360" w:lineRule="atLeast"/>
                    <w:jc w:val="left"/>
                    <w:rPr>
                      <w:rFonts w:ascii="宋体" w:eastAsia="宋体" w:hAnsi="宋体" w:cs="宋体"/>
                      <w:kern w:val="0"/>
                      <w:sz w:val="24"/>
                      <w:szCs w:val="24"/>
                    </w:rPr>
                  </w:pPr>
                  <w:r w:rsidRPr="00D472CE">
                    <w:rPr>
                      <w:rFonts w:ascii="宋体" w:eastAsia="宋体" w:hAnsi="宋体" w:cs="宋体"/>
                      <w:kern w:val="0"/>
                      <w:sz w:val="24"/>
                      <w:szCs w:val="24"/>
                    </w:rPr>
                    <w:t>全部公开</w:t>
                  </w:r>
                </w:p>
              </w:tc>
            </w:tr>
            <w:tr w:rsidR="00D472CE" w:rsidRPr="00D472CE">
              <w:tc>
                <w:tcPr>
                  <w:tcW w:w="1200" w:type="dxa"/>
                  <w:vAlign w:val="center"/>
                  <w:hideMark/>
                </w:tcPr>
                <w:p w:rsidR="00D472CE" w:rsidRPr="00D472CE" w:rsidRDefault="00D472CE" w:rsidP="00D472CE">
                  <w:pPr>
                    <w:widowControl/>
                    <w:spacing w:line="360" w:lineRule="atLeast"/>
                    <w:jc w:val="left"/>
                    <w:rPr>
                      <w:rFonts w:ascii="宋体" w:eastAsia="宋体" w:hAnsi="宋体" w:cs="宋体"/>
                      <w:kern w:val="0"/>
                      <w:sz w:val="24"/>
                      <w:szCs w:val="24"/>
                    </w:rPr>
                  </w:pPr>
                  <w:r w:rsidRPr="00D472CE">
                    <w:rPr>
                      <w:rFonts w:ascii="宋体" w:eastAsia="宋体" w:hAnsi="宋体" w:cs="宋体"/>
                      <w:b/>
                      <w:bCs/>
                      <w:kern w:val="0"/>
                      <w:sz w:val="24"/>
                      <w:szCs w:val="24"/>
                    </w:rPr>
                    <w:t>生效日期：</w:t>
                  </w:r>
                </w:p>
              </w:tc>
              <w:tc>
                <w:tcPr>
                  <w:tcW w:w="3300" w:type="dxa"/>
                  <w:vAlign w:val="center"/>
                  <w:hideMark/>
                </w:tcPr>
                <w:p w:rsidR="00D472CE" w:rsidRPr="00D472CE" w:rsidRDefault="00D472CE" w:rsidP="00D472CE">
                  <w:pPr>
                    <w:widowControl/>
                    <w:spacing w:line="360" w:lineRule="atLeast"/>
                    <w:jc w:val="left"/>
                    <w:rPr>
                      <w:rFonts w:ascii="宋体" w:eastAsia="宋体" w:hAnsi="宋体" w:cs="宋体"/>
                      <w:kern w:val="0"/>
                      <w:sz w:val="24"/>
                      <w:szCs w:val="24"/>
                    </w:rPr>
                  </w:pPr>
                  <w:r w:rsidRPr="00D472CE">
                    <w:rPr>
                      <w:rFonts w:ascii="宋体" w:eastAsia="宋体" w:hAnsi="宋体" w:cs="宋体"/>
                      <w:kern w:val="0"/>
                      <w:sz w:val="24"/>
                      <w:szCs w:val="24"/>
                    </w:rPr>
                    <w:t>2016-01-19</w:t>
                  </w:r>
                </w:p>
              </w:tc>
              <w:tc>
                <w:tcPr>
                  <w:tcW w:w="1200" w:type="dxa"/>
                  <w:vAlign w:val="center"/>
                  <w:hideMark/>
                </w:tcPr>
                <w:p w:rsidR="00D472CE" w:rsidRPr="00D472CE" w:rsidRDefault="00D472CE" w:rsidP="00D472CE">
                  <w:pPr>
                    <w:widowControl/>
                    <w:spacing w:line="360" w:lineRule="atLeast"/>
                    <w:jc w:val="left"/>
                    <w:rPr>
                      <w:rFonts w:ascii="宋体" w:eastAsia="宋体" w:hAnsi="宋体" w:cs="宋体"/>
                      <w:kern w:val="0"/>
                      <w:sz w:val="24"/>
                      <w:szCs w:val="24"/>
                    </w:rPr>
                  </w:pPr>
                  <w:r w:rsidRPr="00D472CE">
                    <w:rPr>
                      <w:rFonts w:ascii="宋体" w:eastAsia="宋体" w:hAnsi="宋体" w:cs="宋体"/>
                      <w:b/>
                      <w:bCs/>
                      <w:kern w:val="0"/>
                      <w:sz w:val="24"/>
                      <w:szCs w:val="24"/>
                    </w:rPr>
                    <w:t>失效日期：</w:t>
                  </w:r>
                </w:p>
              </w:tc>
              <w:tc>
                <w:tcPr>
                  <w:tcW w:w="3300" w:type="dxa"/>
                  <w:vAlign w:val="center"/>
                  <w:hideMark/>
                </w:tcPr>
                <w:p w:rsidR="00D472CE" w:rsidRPr="00D472CE" w:rsidRDefault="00D472CE" w:rsidP="00D472CE">
                  <w:pPr>
                    <w:widowControl/>
                    <w:spacing w:line="360" w:lineRule="atLeast"/>
                    <w:jc w:val="left"/>
                    <w:rPr>
                      <w:rFonts w:ascii="宋体" w:eastAsia="宋体" w:hAnsi="宋体" w:cs="宋体"/>
                      <w:kern w:val="0"/>
                      <w:sz w:val="24"/>
                      <w:szCs w:val="24"/>
                    </w:rPr>
                  </w:pPr>
                  <w:r w:rsidRPr="00D472CE">
                    <w:rPr>
                      <w:rFonts w:ascii="宋体" w:eastAsia="宋体" w:hAnsi="宋体" w:cs="宋体"/>
                      <w:kern w:val="0"/>
                      <w:sz w:val="24"/>
                      <w:szCs w:val="24"/>
                    </w:rPr>
                    <w:t>2021-01-19</w:t>
                  </w:r>
                </w:p>
              </w:tc>
              <w:tc>
                <w:tcPr>
                  <w:tcW w:w="1200" w:type="dxa"/>
                  <w:vAlign w:val="center"/>
                  <w:hideMark/>
                </w:tcPr>
                <w:p w:rsidR="00D472CE" w:rsidRPr="00D472CE" w:rsidRDefault="00D472CE" w:rsidP="00D472CE">
                  <w:pPr>
                    <w:widowControl/>
                    <w:spacing w:line="360" w:lineRule="atLeast"/>
                    <w:jc w:val="left"/>
                    <w:rPr>
                      <w:rFonts w:ascii="宋体" w:eastAsia="宋体" w:hAnsi="宋体" w:cs="宋体"/>
                      <w:kern w:val="0"/>
                      <w:sz w:val="24"/>
                      <w:szCs w:val="24"/>
                    </w:rPr>
                  </w:pPr>
                  <w:r w:rsidRPr="00D472CE">
                    <w:rPr>
                      <w:rFonts w:ascii="宋体" w:eastAsia="宋体" w:hAnsi="宋体" w:cs="宋体"/>
                      <w:b/>
                      <w:bCs/>
                      <w:kern w:val="0"/>
                      <w:sz w:val="24"/>
                      <w:szCs w:val="24"/>
                    </w:rPr>
                    <w:t>公开方式：</w:t>
                  </w:r>
                </w:p>
              </w:tc>
              <w:tc>
                <w:tcPr>
                  <w:tcW w:w="3300" w:type="dxa"/>
                  <w:vAlign w:val="center"/>
                  <w:hideMark/>
                </w:tcPr>
                <w:p w:rsidR="00D472CE" w:rsidRPr="00D472CE" w:rsidRDefault="00D472CE" w:rsidP="00D472CE">
                  <w:pPr>
                    <w:widowControl/>
                    <w:spacing w:line="360" w:lineRule="atLeast"/>
                    <w:jc w:val="left"/>
                    <w:rPr>
                      <w:rFonts w:ascii="宋体" w:eastAsia="宋体" w:hAnsi="宋体" w:cs="宋体"/>
                      <w:kern w:val="0"/>
                      <w:sz w:val="24"/>
                      <w:szCs w:val="24"/>
                    </w:rPr>
                  </w:pPr>
                  <w:r w:rsidRPr="00D472CE">
                    <w:rPr>
                      <w:rFonts w:ascii="宋体" w:eastAsia="宋体" w:hAnsi="宋体" w:cs="宋体"/>
                      <w:kern w:val="0"/>
                      <w:sz w:val="24"/>
                      <w:szCs w:val="24"/>
                    </w:rPr>
                    <w:t>政府网站</w:t>
                  </w:r>
                </w:p>
              </w:tc>
            </w:tr>
          </w:tbl>
          <w:p w:rsidR="00D472CE" w:rsidRPr="00D472CE" w:rsidRDefault="00D472CE" w:rsidP="00D472CE">
            <w:pPr>
              <w:widowControl/>
              <w:jc w:val="left"/>
              <w:rPr>
                <w:rFonts w:ascii="宋体" w:eastAsia="宋体" w:hAnsi="宋体" w:cs="宋体"/>
                <w:color w:val="333333"/>
                <w:kern w:val="0"/>
                <w:sz w:val="18"/>
                <w:szCs w:val="18"/>
              </w:rPr>
            </w:pPr>
          </w:p>
        </w:tc>
      </w:tr>
    </w:tbl>
    <w:p w:rsidR="00D472CE" w:rsidRDefault="00D472CE" w:rsidP="00D472CE">
      <w:pPr>
        <w:widowControl/>
        <w:spacing w:line="720" w:lineRule="atLeast"/>
        <w:jc w:val="center"/>
        <w:outlineLvl w:val="0"/>
        <w:rPr>
          <w:rFonts w:ascii="微软雅黑" w:eastAsia="微软雅黑" w:hAnsi="微软雅黑" w:cs="宋体"/>
          <w:color w:val="E85513"/>
          <w:kern w:val="36"/>
          <w:sz w:val="36"/>
          <w:szCs w:val="36"/>
        </w:rPr>
      </w:pPr>
      <w:r w:rsidRPr="00D472CE">
        <w:rPr>
          <w:rFonts w:ascii="微软雅黑" w:eastAsia="微软雅黑" w:hAnsi="微软雅黑" w:cs="宋体" w:hint="eastAsia"/>
          <w:color w:val="E85513"/>
          <w:kern w:val="36"/>
          <w:sz w:val="36"/>
          <w:szCs w:val="36"/>
        </w:rPr>
        <w:t>岳阳市人民政府办公室关于实施创新驱动发展战略促进产业转型升级的意见(岳政办发〔2016〕1号)</w:t>
      </w:r>
    </w:p>
    <w:p w:rsidR="00D472CE" w:rsidRDefault="00D472CE" w:rsidP="00D472CE">
      <w:pPr>
        <w:widowControl/>
        <w:spacing w:line="720" w:lineRule="atLeast"/>
        <w:jc w:val="left"/>
        <w:outlineLvl w:val="0"/>
        <w:rPr>
          <w:color w:val="333333"/>
          <w:shd w:val="clear" w:color="auto" w:fill="FFFFFF"/>
        </w:rPr>
      </w:pPr>
      <w:r>
        <w:rPr>
          <w:rFonts w:hint="eastAsia"/>
          <w:color w:val="333333"/>
          <w:shd w:val="clear" w:color="auto" w:fill="FFFFFF"/>
        </w:rPr>
        <w:t>YYCR</w:t>
      </w:r>
      <w:r>
        <w:rPr>
          <w:rFonts w:hint="eastAsia"/>
          <w:color w:val="333333"/>
          <w:shd w:val="clear" w:color="auto" w:fill="FFFFFF"/>
        </w:rPr>
        <w:t>—</w:t>
      </w:r>
      <w:r>
        <w:rPr>
          <w:rFonts w:hint="eastAsia"/>
          <w:color w:val="333333"/>
          <w:shd w:val="clear" w:color="auto" w:fill="FFFFFF"/>
        </w:rPr>
        <w:t>2016</w:t>
      </w:r>
      <w:r>
        <w:rPr>
          <w:rFonts w:hint="eastAsia"/>
          <w:color w:val="333333"/>
          <w:shd w:val="clear" w:color="auto" w:fill="FFFFFF"/>
        </w:rPr>
        <w:t>—</w:t>
      </w:r>
      <w:r>
        <w:rPr>
          <w:rFonts w:hint="eastAsia"/>
          <w:color w:val="333333"/>
          <w:shd w:val="clear" w:color="auto" w:fill="FFFFFF"/>
        </w:rPr>
        <w:t>01001</w:t>
      </w:r>
    </w:p>
    <w:p w:rsidR="00D472CE" w:rsidRPr="00D472CE" w:rsidRDefault="00D472CE" w:rsidP="00D472CE">
      <w:pPr>
        <w:widowControl/>
        <w:spacing w:line="720" w:lineRule="atLeast"/>
        <w:jc w:val="left"/>
        <w:outlineLvl w:val="0"/>
        <w:rPr>
          <w:rFonts w:ascii="微软雅黑" w:eastAsia="微软雅黑" w:hAnsi="微软雅黑" w:cs="宋体"/>
          <w:color w:val="E85513"/>
          <w:kern w:val="36"/>
          <w:sz w:val="36"/>
          <w:szCs w:val="36"/>
        </w:rPr>
      </w:pPr>
      <w:bookmarkStart w:id="0" w:name="_GoBack"/>
      <w:bookmarkEnd w:id="0"/>
    </w:p>
    <w:p w:rsidR="00534FBA" w:rsidRDefault="00534FBA" w:rsidP="00534FBA">
      <w:pPr>
        <w:pStyle w:val="a3"/>
        <w:shd w:val="clear" w:color="auto" w:fill="FFFFFF"/>
        <w:spacing w:before="0" w:beforeAutospacing="0" w:after="0" w:afterAutospacing="0" w:line="480" w:lineRule="auto"/>
        <w:ind w:firstLine="480"/>
        <w:rPr>
          <w:color w:val="000000"/>
        </w:rPr>
      </w:pPr>
      <w:r>
        <w:rPr>
          <w:rFonts w:hint="eastAsia"/>
          <w:color w:val="000000"/>
        </w:rPr>
        <w:t>各县市区人民政府，岳阳经济技术开发区、城</w:t>
      </w:r>
      <w:proofErr w:type="gramStart"/>
      <w:r>
        <w:rPr>
          <w:rFonts w:hint="eastAsia"/>
          <w:color w:val="000000"/>
        </w:rPr>
        <w:t>陵矶新港区</w:t>
      </w:r>
      <w:proofErr w:type="gramEnd"/>
      <w:r>
        <w:rPr>
          <w:rFonts w:hint="eastAsia"/>
          <w:color w:val="000000"/>
        </w:rPr>
        <w:t>、南湖新区、屈原管理区，市直各单位，中央、</w:t>
      </w:r>
      <w:proofErr w:type="gramStart"/>
      <w:r>
        <w:rPr>
          <w:rFonts w:hint="eastAsia"/>
          <w:color w:val="000000"/>
        </w:rPr>
        <w:t>省属驻岳各单位</w:t>
      </w:r>
      <w:proofErr w:type="gramEnd"/>
      <w:r>
        <w:rPr>
          <w:rFonts w:hint="eastAsia"/>
          <w:color w:val="000000"/>
        </w:rPr>
        <w:t>：</w:t>
      </w:r>
    </w:p>
    <w:p w:rsidR="00534FBA" w:rsidRDefault="00534FBA" w:rsidP="00534FBA">
      <w:pPr>
        <w:pStyle w:val="a3"/>
        <w:shd w:val="clear" w:color="auto" w:fill="FFFFFF"/>
        <w:spacing w:before="0" w:beforeAutospacing="0" w:after="0" w:afterAutospacing="0" w:line="480" w:lineRule="auto"/>
        <w:ind w:firstLine="480"/>
        <w:rPr>
          <w:color w:val="000000"/>
        </w:rPr>
      </w:pPr>
      <w:r>
        <w:rPr>
          <w:rFonts w:hint="eastAsia"/>
          <w:color w:val="000000"/>
        </w:rPr>
        <w:t>为加快实施创新驱动发展战略，全面增强区域自主创新能力，促进全市产业转型升级，经市人民政府研究同意，现提出如下实施意见。</w:t>
      </w:r>
    </w:p>
    <w:p w:rsidR="00534FBA" w:rsidRDefault="00534FBA" w:rsidP="00534FBA">
      <w:pPr>
        <w:pStyle w:val="a3"/>
        <w:shd w:val="clear" w:color="auto" w:fill="FFFFFF"/>
        <w:spacing w:before="0" w:beforeAutospacing="0" w:after="0" w:afterAutospacing="0" w:line="480" w:lineRule="auto"/>
        <w:ind w:firstLine="480"/>
        <w:rPr>
          <w:color w:val="000000"/>
        </w:rPr>
      </w:pPr>
      <w:r>
        <w:rPr>
          <w:rFonts w:hint="eastAsia"/>
          <w:color w:val="000000"/>
        </w:rPr>
        <w:t>一、主要目标</w:t>
      </w:r>
    </w:p>
    <w:p w:rsidR="00534FBA" w:rsidRDefault="00534FBA" w:rsidP="00534FBA">
      <w:pPr>
        <w:pStyle w:val="a3"/>
        <w:shd w:val="clear" w:color="auto" w:fill="FFFFFF"/>
        <w:spacing w:before="0" w:beforeAutospacing="0" w:after="0" w:afterAutospacing="0" w:line="480" w:lineRule="auto"/>
        <w:ind w:firstLine="480"/>
        <w:rPr>
          <w:color w:val="000000"/>
        </w:rPr>
      </w:pPr>
      <w:r>
        <w:rPr>
          <w:rFonts w:hint="eastAsia"/>
          <w:color w:val="000000"/>
        </w:rPr>
        <w:t>到2020年，全面建成创新型城市，率先实现基本现代化。全市高新技术产业总收入达到4000亿元以上，高新技术产业增加值占GDP的比重达到30%以上，战略性新兴产业主营业务收入达到3000亿元以上；培育国家高新技术产业开发区1个、省级高新技术产业开发区3个、高新技术特色产业基地3个以上；全市科学技术研究与开发经费投入占GDP的比重达到3%以上，每万人有效发明专利拥有量力争达到3.2件以上，科技进步对经济增长的贡献率达到60%以上。</w:t>
      </w:r>
    </w:p>
    <w:p w:rsidR="00534FBA" w:rsidRDefault="00534FBA" w:rsidP="00534FBA">
      <w:pPr>
        <w:pStyle w:val="a3"/>
        <w:shd w:val="clear" w:color="auto" w:fill="FFFFFF"/>
        <w:spacing w:before="0" w:beforeAutospacing="0" w:after="0" w:afterAutospacing="0" w:line="480" w:lineRule="auto"/>
        <w:ind w:firstLine="480"/>
        <w:rPr>
          <w:color w:val="000000"/>
        </w:rPr>
      </w:pPr>
      <w:r>
        <w:rPr>
          <w:rFonts w:hint="eastAsia"/>
          <w:color w:val="000000"/>
        </w:rPr>
        <w:t>二、提高企业自主创新能力</w:t>
      </w:r>
    </w:p>
    <w:p w:rsidR="00534FBA" w:rsidRDefault="00534FBA" w:rsidP="00534FBA">
      <w:pPr>
        <w:pStyle w:val="a3"/>
        <w:shd w:val="clear" w:color="auto" w:fill="FFFFFF"/>
        <w:spacing w:before="0" w:beforeAutospacing="0" w:after="0" w:afterAutospacing="0" w:line="480" w:lineRule="auto"/>
        <w:ind w:firstLine="480"/>
        <w:rPr>
          <w:color w:val="000000"/>
        </w:rPr>
      </w:pPr>
      <w:r>
        <w:rPr>
          <w:rFonts w:hint="eastAsia"/>
          <w:color w:val="000000"/>
        </w:rPr>
        <w:lastRenderedPageBreak/>
        <w:t>（一）支持高新技术企业发展。科技立项重点向高新技术产业倾斜，优先支持高新技术企业承担国家和省科技计划任务，加大企业研发费用税收优惠和高新技术企业普惠政策落实力度。</w:t>
      </w:r>
    </w:p>
    <w:p w:rsidR="00534FBA" w:rsidRDefault="00534FBA" w:rsidP="00534FBA">
      <w:pPr>
        <w:pStyle w:val="a3"/>
        <w:shd w:val="clear" w:color="auto" w:fill="FFFFFF"/>
        <w:spacing w:before="0" w:beforeAutospacing="0" w:after="0" w:afterAutospacing="0" w:line="480" w:lineRule="auto"/>
        <w:ind w:firstLine="480"/>
        <w:rPr>
          <w:color w:val="000000"/>
        </w:rPr>
      </w:pPr>
      <w:r>
        <w:rPr>
          <w:rFonts w:hint="eastAsia"/>
          <w:color w:val="000000"/>
        </w:rPr>
        <w:t>（二）鼓励企业加大创新投入。对年度科研经费投入总量占主营业务收入比例排名前30名的规模以上高新技术企业，市科技计划在同等条件下予以优先立项。</w:t>
      </w:r>
    </w:p>
    <w:p w:rsidR="00534FBA" w:rsidRDefault="00534FBA" w:rsidP="00534FBA">
      <w:pPr>
        <w:pStyle w:val="a3"/>
        <w:shd w:val="clear" w:color="auto" w:fill="FFFFFF"/>
        <w:spacing w:before="0" w:beforeAutospacing="0" w:after="0" w:afterAutospacing="0" w:line="480" w:lineRule="auto"/>
        <w:ind w:firstLine="480"/>
        <w:rPr>
          <w:color w:val="000000"/>
        </w:rPr>
      </w:pPr>
      <w:r>
        <w:rPr>
          <w:rFonts w:hint="eastAsia"/>
          <w:color w:val="000000"/>
        </w:rPr>
        <w:t>（三）鼓励企业建立研发机构。鼓励企业与高等院校、科研院所联合建立以高新技术开发和应用为主要内容的院士工作站、重点实验室、工程技术研究中心、企业技术中心等研发机构。对新认定的国家、省、市级科技创新平台，分别给予30万元、20万元、10万元补助。</w:t>
      </w:r>
    </w:p>
    <w:p w:rsidR="00534FBA" w:rsidRDefault="00534FBA" w:rsidP="00534FBA">
      <w:pPr>
        <w:pStyle w:val="a3"/>
        <w:shd w:val="clear" w:color="auto" w:fill="FFFFFF"/>
        <w:spacing w:before="0" w:beforeAutospacing="0" w:after="0" w:afterAutospacing="0" w:line="480" w:lineRule="auto"/>
        <w:ind w:firstLine="480"/>
        <w:rPr>
          <w:color w:val="000000"/>
        </w:rPr>
      </w:pPr>
      <w:r>
        <w:rPr>
          <w:rFonts w:hint="eastAsia"/>
          <w:color w:val="000000"/>
        </w:rPr>
        <w:t>三、完善公共技术和服务平台建设</w:t>
      </w:r>
    </w:p>
    <w:p w:rsidR="00534FBA" w:rsidRDefault="00534FBA" w:rsidP="00534FBA">
      <w:pPr>
        <w:pStyle w:val="a3"/>
        <w:shd w:val="clear" w:color="auto" w:fill="FFFFFF"/>
        <w:spacing w:before="0" w:beforeAutospacing="0" w:after="0" w:afterAutospacing="0" w:line="480" w:lineRule="auto"/>
        <w:ind w:firstLine="480"/>
        <w:rPr>
          <w:color w:val="000000"/>
        </w:rPr>
      </w:pPr>
      <w:r>
        <w:rPr>
          <w:rFonts w:hint="eastAsia"/>
          <w:color w:val="000000"/>
        </w:rPr>
        <w:t>（一）引导企业、社会资本依托产业园区加快建设一批能有效满足大众创新创业需求、具有较强专业服务能力的</w:t>
      </w:r>
      <w:proofErr w:type="gramStart"/>
      <w:r>
        <w:rPr>
          <w:rFonts w:hint="eastAsia"/>
          <w:color w:val="000000"/>
        </w:rPr>
        <w:t>众创空间</w:t>
      </w:r>
      <w:proofErr w:type="gramEnd"/>
      <w:r>
        <w:rPr>
          <w:rFonts w:hint="eastAsia"/>
          <w:color w:val="000000"/>
        </w:rPr>
        <w:t>等新型创新服务平台。强化创业苗圃、孵化器、加速器建设，构建以专业孵化器和创新型孵化器为重点，综合孵化器为支撑的创业孵化生态体系。对新认定的国家、省、市级科技企业孵化器，分别给予50万元、30万元、20万元补助；对新认定的孵化器或孵化器扩建新增面积，争取列入湖南省工业地产补助范围。</w:t>
      </w:r>
    </w:p>
    <w:p w:rsidR="00534FBA" w:rsidRDefault="00534FBA" w:rsidP="00534FBA">
      <w:pPr>
        <w:pStyle w:val="a3"/>
        <w:shd w:val="clear" w:color="auto" w:fill="FFFFFF"/>
        <w:spacing w:before="0" w:beforeAutospacing="0" w:after="0" w:afterAutospacing="0" w:line="480" w:lineRule="auto"/>
        <w:ind w:firstLine="480"/>
        <w:rPr>
          <w:color w:val="000000"/>
        </w:rPr>
      </w:pPr>
      <w:r>
        <w:rPr>
          <w:rFonts w:hint="eastAsia"/>
          <w:color w:val="000000"/>
        </w:rPr>
        <w:t>（二）完善科技创新服务体系。围绕产业创新需求，大力发展技术转移、检验检测认证、大型科学仪器设备共享等科技服务，探索建立公共创新服务平台的投入、建设和服务模式，形成可持续发展的平台运营机制。对提供科技资源共享的单位，给予年度服务业绩额15%的补助，最高补助30万元；对新认定</w:t>
      </w:r>
      <w:r>
        <w:rPr>
          <w:rFonts w:hint="eastAsia"/>
          <w:color w:val="000000"/>
        </w:rPr>
        <w:lastRenderedPageBreak/>
        <w:t>的国家、省级技术转移示范机构、检验检测认证机构、大型科学仪器设备共享平台，分别给予30万元、20万补助。</w:t>
      </w:r>
    </w:p>
    <w:p w:rsidR="00534FBA" w:rsidRDefault="00534FBA" w:rsidP="00534FBA">
      <w:pPr>
        <w:pStyle w:val="a3"/>
        <w:shd w:val="clear" w:color="auto" w:fill="FFFFFF"/>
        <w:spacing w:before="0" w:beforeAutospacing="0" w:after="0" w:afterAutospacing="0" w:line="480" w:lineRule="auto"/>
        <w:ind w:firstLine="480"/>
        <w:rPr>
          <w:color w:val="000000"/>
        </w:rPr>
      </w:pPr>
      <w:r>
        <w:rPr>
          <w:rFonts w:hint="eastAsia"/>
          <w:color w:val="000000"/>
        </w:rPr>
        <w:t>四、加强知识产权和标准化建设</w:t>
      </w:r>
    </w:p>
    <w:p w:rsidR="00534FBA" w:rsidRDefault="00534FBA" w:rsidP="00534FBA">
      <w:pPr>
        <w:pStyle w:val="a3"/>
        <w:shd w:val="clear" w:color="auto" w:fill="FFFFFF"/>
        <w:spacing w:before="0" w:beforeAutospacing="0" w:after="0" w:afterAutospacing="0" w:line="480" w:lineRule="auto"/>
        <w:ind w:firstLine="480"/>
        <w:rPr>
          <w:color w:val="000000"/>
        </w:rPr>
      </w:pPr>
      <w:r>
        <w:rPr>
          <w:rFonts w:hint="eastAsia"/>
          <w:color w:val="000000"/>
        </w:rPr>
        <w:t>（一）实施专利战略。加强企业知识产权创造、运用、保护力度，鼓励企业依法申报科技创新成果专利，取得自主知识产权。市财政设立专利资助资金，对获得发明专利授权的给予每件3000元的专利补助。支持企业申报国家、省知识产权试点企业。引导企业着眼产业技术前沿，围绕构建产业链，集中突破一批产业核心关键技术，形成具有核心竞争力的知识产权。鼓励以知识产权入股创办科技企业，其占股比例最高可达到公司注册资本的70%。</w:t>
      </w:r>
    </w:p>
    <w:p w:rsidR="00534FBA" w:rsidRDefault="00534FBA" w:rsidP="00534FBA">
      <w:pPr>
        <w:pStyle w:val="a3"/>
        <w:shd w:val="clear" w:color="auto" w:fill="FFFFFF"/>
        <w:spacing w:before="0" w:beforeAutospacing="0" w:after="0" w:afterAutospacing="0" w:line="480" w:lineRule="auto"/>
        <w:ind w:firstLine="480"/>
        <w:rPr>
          <w:color w:val="000000"/>
        </w:rPr>
      </w:pPr>
      <w:r>
        <w:rPr>
          <w:rFonts w:hint="eastAsia"/>
          <w:color w:val="000000"/>
        </w:rPr>
        <w:t>（二）实施标准化战略。鼓励和引导企业、行业协会、高校、科研机构，积极参与国际标准、国家标准、行业标准、地方标准、联盟标准的制（修）订和开展标准化项目科研活动；支持企业或高校、科研机构承担各类专业标准化技术委员会、分技术委员会、工作组（TC/SC/WG）的工作；支持企业开展标准化良好行为的创建活动，鼓励企业采用国际标准或国外先进标准组织生产。</w:t>
      </w:r>
    </w:p>
    <w:p w:rsidR="00534FBA" w:rsidRDefault="00534FBA" w:rsidP="00534FBA">
      <w:pPr>
        <w:pStyle w:val="a3"/>
        <w:shd w:val="clear" w:color="auto" w:fill="FFFFFF"/>
        <w:spacing w:before="0" w:beforeAutospacing="0" w:after="0" w:afterAutospacing="0" w:line="480" w:lineRule="auto"/>
        <w:ind w:firstLine="480"/>
        <w:rPr>
          <w:color w:val="000000"/>
        </w:rPr>
      </w:pPr>
      <w:r>
        <w:rPr>
          <w:rFonts w:hint="eastAsia"/>
          <w:color w:val="000000"/>
        </w:rPr>
        <w:t>五、推动科技与金融结合</w:t>
      </w:r>
    </w:p>
    <w:p w:rsidR="00534FBA" w:rsidRDefault="00534FBA" w:rsidP="00534FBA">
      <w:pPr>
        <w:pStyle w:val="a3"/>
        <w:shd w:val="clear" w:color="auto" w:fill="FFFFFF"/>
        <w:spacing w:before="0" w:beforeAutospacing="0" w:after="0" w:afterAutospacing="0" w:line="480" w:lineRule="auto"/>
        <w:ind w:firstLine="480"/>
        <w:rPr>
          <w:color w:val="000000"/>
        </w:rPr>
      </w:pPr>
      <w:r>
        <w:rPr>
          <w:rFonts w:hint="eastAsia"/>
          <w:color w:val="000000"/>
        </w:rPr>
        <w:t>（一）支持科技金融服务。支持商业银行开办科技支行,支持银行业金融机构与创业投资、证券、保险、信托等机构合作，创新交叉性金融产品，开发和完善适合科技企业融资需求特点的授信模式。支持金融租赁公司开展大型设备、精密器材等科技租赁服务；支持科技担保公司、科技信托公司等科技金融经营性公司发展。</w:t>
      </w:r>
    </w:p>
    <w:p w:rsidR="00534FBA" w:rsidRDefault="00534FBA" w:rsidP="00534FBA">
      <w:pPr>
        <w:pStyle w:val="a3"/>
        <w:shd w:val="clear" w:color="auto" w:fill="FFFFFF"/>
        <w:spacing w:before="0" w:beforeAutospacing="0" w:after="0" w:afterAutospacing="0" w:line="480" w:lineRule="auto"/>
        <w:ind w:firstLine="480"/>
        <w:rPr>
          <w:color w:val="000000"/>
        </w:rPr>
      </w:pPr>
      <w:r>
        <w:rPr>
          <w:rFonts w:hint="eastAsia"/>
          <w:color w:val="000000"/>
        </w:rPr>
        <w:t>（二）建立和完善创业投资体系。鼓励国（境）内外创业投资机构来</w:t>
      </w:r>
      <w:proofErr w:type="gramStart"/>
      <w:r>
        <w:rPr>
          <w:rFonts w:hint="eastAsia"/>
          <w:color w:val="000000"/>
        </w:rPr>
        <w:t>岳设立</w:t>
      </w:r>
      <w:proofErr w:type="gramEnd"/>
      <w:r>
        <w:rPr>
          <w:rFonts w:hint="eastAsia"/>
          <w:color w:val="000000"/>
        </w:rPr>
        <w:t>创业投资公司或直接投资高新技术产业项目。逐步建立风险投资机构与高新</w:t>
      </w:r>
      <w:r>
        <w:rPr>
          <w:rFonts w:hint="eastAsia"/>
          <w:color w:val="000000"/>
        </w:rPr>
        <w:lastRenderedPageBreak/>
        <w:t>技术企业对接机制，实现企业与风险投资机构的良性互动。力争在新材料等领域申报3支以上国家新兴产业创</w:t>
      </w:r>
      <w:proofErr w:type="gramStart"/>
      <w:r>
        <w:rPr>
          <w:rFonts w:hint="eastAsia"/>
          <w:color w:val="000000"/>
        </w:rPr>
        <w:t>投计划</w:t>
      </w:r>
      <w:proofErr w:type="gramEnd"/>
      <w:r>
        <w:rPr>
          <w:rFonts w:hint="eastAsia"/>
          <w:color w:val="000000"/>
        </w:rPr>
        <w:t>参股创业投资基金。</w:t>
      </w:r>
    </w:p>
    <w:p w:rsidR="00534FBA" w:rsidRDefault="00534FBA" w:rsidP="00534FBA">
      <w:pPr>
        <w:pStyle w:val="a3"/>
        <w:shd w:val="clear" w:color="auto" w:fill="FFFFFF"/>
        <w:spacing w:before="0" w:beforeAutospacing="0" w:after="0" w:afterAutospacing="0" w:line="480" w:lineRule="auto"/>
        <w:ind w:firstLine="480"/>
        <w:rPr>
          <w:color w:val="000000"/>
        </w:rPr>
      </w:pPr>
      <w:r>
        <w:rPr>
          <w:rFonts w:hint="eastAsia"/>
          <w:color w:val="000000"/>
        </w:rPr>
        <w:t>（三）创新金融支持方式。进一步促进金融机构发展科技贷款和科技保险。完善知识产权质押融资的程序和制度，鼓励金融机构大力开展知识产权质押业务。</w:t>
      </w:r>
    </w:p>
    <w:p w:rsidR="00534FBA" w:rsidRDefault="00534FBA" w:rsidP="00534FBA">
      <w:pPr>
        <w:pStyle w:val="a3"/>
        <w:shd w:val="clear" w:color="auto" w:fill="FFFFFF"/>
        <w:spacing w:before="0" w:beforeAutospacing="0" w:after="0" w:afterAutospacing="0" w:line="480" w:lineRule="auto"/>
        <w:ind w:firstLine="480"/>
        <w:rPr>
          <w:color w:val="000000"/>
        </w:rPr>
      </w:pPr>
      <w:r>
        <w:rPr>
          <w:rFonts w:hint="eastAsia"/>
          <w:color w:val="000000"/>
        </w:rPr>
        <w:t>（四）鼓励高新技术企业购买科技保险产品。积极支持我市高新技术企业购买与产品研发相关的责任险、研发设备保险和环境污染责任险，在保费费率上给予支持。</w:t>
      </w:r>
    </w:p>
    <w:p w:rsidR="00534FBA" w:rsidRDefault="00534FBA" w:rsidP="00534FBA">
      <w:pPr>
        <w:pStyle w:val="a3"/>
        <w:shd w:val="clear" w:color="auto" w:fill="FFFFFF"/>
        <w:spacing w:before="0" w:beforeAutospacing="0" w:after="0" w:afterAutospacing="0" w:line="480" w:lineRule="auto"/>
        <w:ind w:firstLine="480"/>
        <w:rPr>
          <w:color w:val="000000"/>
        </w:rPr>
      </w:pPr>
      <w:r>
        <w:rPr>
          <w:rFonts w:hint="eastAsia"/>
          <w:color w:val="000000"/>
        </w:rPr>
        <w:t>六、保障措施</w:t>
      </w:r>
    </w:p>
    <w:p w:rsidR="00534FBA" w:rsidRDefault="00534FBA" w:rsidP="00534FBA">
      <w:pPr>
        <w:pStyle w:val="a3"/>
        <w:shd w:val="clear" w:color="auto" w:fill="FFFFFF"/>
        <w:spacing w:before="0" w:beforeAutospacing="0" w:after="0" w:afterAutospacing="0" w:line="480" w:lineRule="auto"/>
        <w:ind w:firstLine="480"/>
        <w:rPr>
          <w:color w:val="000000"/>
        </w:rPr>
      </w:pPr>
      <w:r>
        <w:rPr>
          <w:rFonts w:hint="eastAsia"/>
          <w:color w:val="000000"/>
        </w:rPr>
        <w:t>（一）加大政府（管委会）对高新技术产业的投入。逐步设立高新技术产业发展引导资金，重点支持高新技术领域关键共性技术研发、产业化示范工程、创新能力建设、产业基地和产业集群培育等。县市区应安排相应扶持资金，以财政资金引导和带动全社会加大高新技术产业的投入。所需资金在科技专项经费中列支。</w:t>
      </w:r>
    </w:p>
    <w:p w:rsidR="00534FBA" w:rsidRDefault="00534FBA" w:rsidP="00534FBA">
      <w:pPr>
        <w:pStyle w:val="a3"/>
        <w:shd w:val="clear" w:color="auto" w:fill="FFFFFF"/>
        <w:spacing w:before="0" w:beforeAutospacing="0" w:after="0" w:afterAutospacing="0" w:line="480" w:lineRule="auto"/>
        <w:ind w:firstLine="480"/>
        <w:rPr>
          <w:color w:val="000000"/>
        </w:rPr>
      </w:pPr>
      <w:r>
        <w:rPr>
          <w:rFonts w:hint="eastAsia"/>
          <w:color w:val="000000"/>
        </w:rPr>
        <w:t>（二）创新体制机制。依法授予市属高校、院所研发团队对科技成果的使用权、经营权和处置权。除涉及国家安全、国家利益和重要社会公共利益的成果外，科技成果转移、转化所得收入全部留归单位，对于职务科技成果转让收益（入股股权），成果持有单位按不低于50%的比例奖励给研发团队。支持高等院校、科研院所的科技人员通过兼职或离岗等方式，创办、领办或与企业家合作创办科技型企业、科技服务机构，经所在单位同意离岗的可在3年内保留人事关系，原单位应根据科技人员创业的实际情况与其签订或变更聘用合同，明确权利义务，符合条件的可正常申报评审相应专业技术职务，建立健全科研</w:t>
      </w:r>
      <w:r>
        <w:rPr>
          <w:rFonts w:hint="eastAsia"/>
          <w:color w:val="000000"/>
        </w:rPr>
        <w:lastRenderedPageBreak/>
        <w:t>人员双向流动机制。逐步引导高校和科研院所在现有职称评定、岗位聘用、科技成果评审体系中，增加专利、技术转让、成果产业化等评定要素的比重。</w:t>
      </w:r>
    </w:p>
    <w:p w:rsidR="00534FBA" w:rsidRDefault="00534FBA" w:rsidP="00534FBA">
      <w:pPr>
        <w:pStyle w:val="a3"/>
        <w:shd w:val="clear" w:color="auto" w:fill="FFFFFF"/>
        <w:spacing w:before="0" w:beforeAutospacing="0" w:after="0" w:afterAutospacing="0" w:line="480" w:lineRule="auto"/>
        <w:ind w:firstLine="480"/>
        <w:rPr>
          <w:color w:val="000000"/>
        </w:rPr>
      </w:pPr>
      <w:r>
        <w:rPr>
          <w:rFonts w:hint="eastAsia"/>
          <w:color w:val="000000"/>
        </w:rPr>
        <w:t>（三）完善人才机制。贯彻执行市委、市政府有关人才工作的规定，大力推进人才强市战略，加大海内外高层次创新创业人才引进力度，不断壮大我市创新创业主体，实施科技创新创业人才团队支持计划。</w:t>
      </w:r>
    </w:p>
    <w:p w:rsidR="00534FBA" w:rsidRDefault="00534FBA" w:rsidP="00534FBA">
      <w:pPr>
        <w:pStyle w:val="a3"/>
        <w:shd w:val="clear" w:color="auto" w:fill="FFFFFF"/>
        <w:spacing w:before="0" w:beforeAutospacing="0" w:after="0" w:afterAutospacing="0" w:line="480" w:lineRule="auto"/>
        <w:ind w:firstLine="480"/>
        <w:rPr>
          <w:color w:val="000000"/>
        </w:rPr>
      </w:pPr>
      <w:r>
        <w:rPr>
          <w:rFonts w:hint="eastAsia"/>
          <w:color w:val="000000"/>
        </w:rPr>
        <w:t>（四）严格目标考核。制定激励约束机制，将高新技术产业发展的重点内容纳入全市综合绩效评估考核体系，把各项目标任务分解量化，重点考核新增高新技术企业数、高新技术产业增加值占GDP的比重、全市科学技术研发投入占GDP的比重、每万人有效发明专利拥有量等指标，通过动态监控和目标管理，形成促进科技创新和高新技术产业发展的工作合力。</w:t>
      </w:r>
    </w:p>
    <w:p w:rsidR="00534FBA" w:rsidRDefault="00534FBA" w:rsidP="00534FBA">
      <w:pPr>
        <w:pStyle w:val="a3"/>
        <w:shd w:val="clear" w:color="auto" w:fill="FFFFFF"/>
        <w:spacing w:before="0" w:beforeAutospacing="0" w:after="0" w:afterAutospacing="0" w:line="480" w:lineRule="auto"/>
        <w:ind w:firstLine="480"/>
        <w:rPr>
          <w:color w:val="000000"/>
        </w:rPr>
      </w:pPr>
      <w:r>
        <w:rPr>
          <w:rFonts w:hint="eastAsia"/>
          <w:color w:val="000000"/>
        </w:rPr>
        <w:t>各县市区政府（管委会）、市直有关部门单位要根据意见要求，结合工作实际制定具体实施细则，并认真贯彻落实。</w:t>
      </w:r>
    </w:p>
    <w:p w:rsidR="00534FBA" w:rsidRDefault="00534FBA" w:rsidP="00534FBA">
      <w:pPr>
        <w:pStyle w:val="a3"/>
        <w:shd w:val="clear" w:color="auto" w:fill="FFFFFF"/>
        <w:spacing w:before="0" w:beforeAutospacing="0" w:after="0" w:afterAutospacing="0" w:line="480" w:lineRule="auto"/>
        <w:ind w:firstLine="480"/>
        <w:rPr>
          <w:color w:val="000000"/>
        </w:rPr>
      </w:pPr>
      <w:proofErr w:type="gramStart"/>
      <w:r>
        <w:rPr>
          <w:rFonts w:hint="eastAsia"/>
          <w:color w:val="000000"/>
        </w:rPr>
        <w:t>本意见自发布</w:t>
      </w:r>
      <w:proofErr w:type="gramEnd"/>
      <w:r>
        <w:rPr>
          <w:rFonts w:hint="eastAsia"/>
          <w:color w:val="000000"/>
        </w:rPr>
        <w:t>之日起施行。</w:t>
      </w:r>
    </w:p>
    <w:p w:rsidR="00534FBA" w:rsidRDefault="00534FBA" w:rsidP="00534FBA">
      <w:pPr>
        <w:pStyle w:val="a3"/>
        <w:shd w:val="clear" w:color="auto" w:fill="FFFFFF"/>
        <w:spacing w:before="0" w:beforeAutospacing="0" w:after="0" w:afterAutospacing="0" w:line="480" w:lineRule="auto"/>
        <w:ind w:firstLine="480"/>
        <w:jc w:val="right"/>
        <w:rPr>
          <w:color w:val="000000"/>
        </w:rPr>
      </w:pPr>
      <w:r>
        <w:rPr>
          <w:rFonts w:hint="eastAsia"/>
          <w:color w:val="000000"/>
        </w:rPr>
        <w:t>岳阳市人民政府办公室</w:t>
      </w:r>
    </w:p>
    <w:p w:rsidR="00534FBA" w:rsidRDefault="00534FBA" w:rsidP="00534FBA">
      <w:pPr>
        <w:pStyle w:val="a3"/>
        <w:shd w:val="clear" w:color="auto" w:fill="FFFFFF"/>
        <w:spacing w:before="0" w:beforeAutospacing="0" w:after="0" w:afterAutospacing="0" w:line="480" w:lineRule="auto"/>
        <w:ind w:firstLine="480"/>
        <w:jc w:val="right"/>
        <w:rPr>
          <w:color w:val="000000"/>
        </w:rPr>
      </w:pPr>
      <w:r>
        <w:rPr>
          <w:rFonts w:hint="eastAsia"/>
          <w:color w:val="000000"/>
        </w:rPr>
        <w:t>2016年1月19日</w:t>
      </w:r>
    </w:p>
    <w:p w:rsidR="00E63226" w:rsidRPr="00534FBA" w:rsidRDefault="00E63226"/>
    <w:sectPr w:rsidR="00E63226" w:rsidRPr="00534F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5C1"/>
    <w:rsid w:val="00534FBA"/>
    <w:rsid w:val="00D472CE"/>
    <w:rsid w:val="00DF75C1"/>
    <w:rsid w:val="00E63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C5019-934F-4684-AF59-45A3E6145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472C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4FBA"/>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D472CE"/>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913489">
      <w:bodyDiv w:val="1"/>
      <w:marLeft w:val="0"/>
      <w:marRight w:val="0"/>
      <w:marTop w:val="0"/>
      <w:marBottom w:val="0"/>
      <w:divBdr>
        <w:top w:val="none" w:sz="0" w:space="0" w:color="auto"/>
        <w:left w:val="none" w:sz="0" w:space="0" w:color="auto"/>
        <w:bottom w:val="none" w:sz="0" w:space="0" w:color="auto"/>
        <w:right w:val="none" w:sz="0" w:space="0" w:color="auto"/>
      </w:divBdr>
    </w:div>
    <w:div w:id="156356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Wen, Yidan (Student)</cp:lastModifiedBy>
  <cp:revision>4</cp:revision>
  <dcterms:created xsi:type="dcterms:W3CDTF">2018-05-18T08:37:00Z</dcterms:created>
  <dcterms:modified xsi:type="dcterms:W3CDTF">2018-09-12T08:06:00Z</dcterms:modified>
</cp:coreProperties>
</file>