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20" w:rsidRDefault="00AC55C8">
      <w:pPr>
        <w:pStyle w:val="3"/>
        <w:widowControl/>
        <w:wordWrap w:val="0"/>
        <w:spacing w:beforeAutospacing="0" w:afterAutospacing="0" w:line="840" w:lineRule="atLeast"/>
        <w:jc w:val="center"/>
        <w:rPr>
          <w:rFonts w:ascii="微软雅黑" w:eastAsia="微软雅黑" w:hAnsi="微软雅黑" w:cs="微软雅黑" w:hint="default"/>
          <w:color w:val="E43333"/>
          <w:sz w:val="36"/>
          <w:szCs w:val="36"/>
        </w:rPr>
      </w:pPr>
      <w:r>
        <w:rPr>
          <w:rFonts w:ascii="微软雅黑" w:eastAsia="微软雅黑" w:hAnsi="微软雅黑" w:cs="微软雅黑"/>
          <w:color w:val="E43333"/>
          <w:sz w:val="36"/>
          <w:szCs w:val="36"/>
        </w:rPr>
        <w:t>遵义市人民政府关于加快金融产业发展的政策措施</w:t>
      </w:r>
    </w:p>
    <w:p w:rsidR="00F34520" w:rsidRDefault="00AC55C8">
      <w:pPr>
        <w:widowControl/>
        <w:wordWrap w:val="0"/>
        <w:spacing w:line="525" w:lineRule="atLeast"/>
        <w:ind w:left="1500" w:right="1500"/>
        <w:jc w:val="center"/>
        <w:rPr>
          <w:rFonts w:ascii="宋体" w:eastAsia="宋体" w:hAnsi="宋体" w:cs="宋体"/>
          <w:color w:val="000000"/>
          <w:szCs w:val="21"/>
        </w:rPr>
      </w:pPr>
      <w:r>
        <w:rPr>
          <w:rFonts w:ascii="宋体" w:eastAsia="宋体" w:hAnsi="宋体" w:cs="宋体" w:hint="eastAsia"/>
          <w:color w:val="000000"/>
          <w:kern w:val="0"/>
          <w:szCs w:val="21"/>
          <w:lang w:bidi="ar"/>
        </w:rPr>
        <w:t>来源：红花</w:t>
      </w:r>
      <w:proofErr w:type="gramStart"/>
      <w:r>
        <w:rPr>
          <w:rFonts w:ascii="宋体" w:eastAsia="宋体" w:hAnsi="宋体" w:cs="宋体" w:hint="eastAsia"/>
          <w:color w:val="000000"/>
          <w:kern w:val="0"/>
          <w:szCs w:val="21"/>
          <w:lang w:bidi="ar"/>
        </w:rPr>
        <w:t>岗政府</w:t>
      </w:r>
      <w:proofErr w:type="gramEnd"/>
      <w:r>
        <w:rPr>
          <w:rFonts w:ascii="宋体" w:eastAsia="宋体" w:hAnsi="宋体" w:cs="宋体" w:hint="eastAsia"/>
          <w:color w:val="000000"/>
          <w:kern w:val="0"/>
          <w:szCs w:val="21"/>
          <w:lang w:bidi="ar"/>
        </w:rPr>
        <w:t>办</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发布日期：</w:t>
      </w:r>
      <w:r>
        <w:rPr>
          <w:rFonts w:ascii="宋体" w:eastAsia="宋体" w:hAnsi="宋体" w:cs="宋体" w:hint="eastAsia"/>
          <w:color w:val="000000"/>
          <w:kern w:val="0"/>
          <w:szCs w:val="21"/>
          <w:lang w:bidi="ar"/>
        </w:rPr>
        <w:t xml:space="preserve">2018-04-28 09:44:51  </w:t>
      </w:r>
      <w:r>
        <w:rPr>
          <w:rFonts w:ascii="宋体" w:eastAsia="宋体" w:hAnsi="宋体" w:cs="宋体" w:hint="eastAsia"/>
          <w:color w:val="000000"/>
          <w:kern w:val="0"/>
          <w:szCs w:val="21"/>
          <w:lang w:bidi="ar"/>
        </w:rPr>
        <w:t>浏览次数：</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文章字号</w:t>
      </w:r>
      <w:r>
        <w:rPr>
          <w:rFonts w:ascii="宋体" w:eastAsia="宋体" w:hAnsi="宋体" w:cs="宋体" w:hint="eastAsia"/>
          <w:color w:val="000000"/>
          <w:kern w:val="0"/>
          <w:szCs w:val="21"/>
          <w:lang w:bidi="ar"/>
        </w:rPr>
        <w:t>: </w:t>
      </w:r>
      <w:hyperlink r:id="rId5" w:history="1">
        <w:r>
          <w:rPr>
            <w:rStyle w:val="a4"/>
            <w:rFonts w:ascii="宋体" w:eastAsia="宋体" w:hAnsi="宋体" w:cs="宋体" w:hint="eastAsia"/>
            <w:color w:val="494949"/>
            <w:szCs w:val="21"/>
            <w:u w:val="none"/>
          </w:rPr>
          <w:t>大</w:t>
        </w:r>
      </w:hyperlink>
      <w:r>
        <w:rPr>
          <w:rFonts w:ascii="宋体" w:eastAsia="宋体" w:hAnsi="宋体" w:cs="宋体" w:hint="eastAsia"/>
          <w:color w:val="000000"/>
          <w:kern w:val="0"/>
          <w:szCs w:val="21"/>
          <w:lang w:bidi="ar"/>
        </w:rPr>
        <w:t> </w:t>
      </w:r>
      <w:hyperlink r:id="rId6" w:history="1">
        <w:r>
          <w:rPr>
            <w:rStyle w:val="a4"/>
            <w:rFonts w:ascii="宋体" w:eastAsia="宋体" w:hAnsi="宋体" w:cs="宋体" w:hint="eastAsia"/>
            <w:color w:val="494949"/>
            <w:szCs w:val="21"/>
            <w:u w:val="none"/>
          </w:rPr>
          <w:t>中</w:t>
        </w:r>
      </w:hyperlink>
      <w:r>
        <w:rPr>
          <w:rFonts w:ascii="宋体" w:eastAsia="宋体" w:hAnsi="宋体" w:cs="宋体" w:hint="eastAsia"/>
          <w:color w:val="000000"/>
          <w:kern w:val="0"/>
          <w:szCs w:val="21"/>
          <w:lang w:bidi="ar"/>
        </w:rPr>
        <w:t> </w:t>
      </w:r>
      <w:hyperlink r:id="rId7" w:history="1">
        <w:r>
          <w:rPr>
            <w:rStyle w:val="a4"/>
            <w:rFonts w:ascii="宋体" w:eastAsia="宋体" w:hAnsi="宋体" w:cs="宋体" w:hint="eastAsia"/>
            <w:color w:val="494949"/>
            <w:szCs w:val="21"/>
            <w:u w:val="none"/>
          </w:rPr>
          <w:t>小</w:t>
        </w:r>
      </w:hyperlink>
    </w:p>
    <w:p w:rsidR="00F34520" w:rsidRDefault="00AC55C8">
      <w:pPr>
        <w:widowControl/>
        <w:wordWrap w:val="0"/>
        <w:spacing w:line="525" w:lineRule="atLeast"/>
        <w:ind w:left="1500" w:right="1500"/>
        <w:jc w:val="center"/>
        <w:rPr>
          <w:rFonts w:ascii="宋体" w:eastAsia="宋体" w:hAnsi="宋体" w:cs="宋体"/>
          <w:color w:val="000000"/>
          <w:szCs w:val="21"/>
        </w:rPr>
      </w:pPr>
      <w:hyperlink r:id="rId8" w:tooltip="分享到QQ空间" w:history="1"/>
      <w:hyperlink r:id="rId9" w:tooltip="分享到新浪微博" w:history="1"/>
      <w:hyperlink r:id="rId10" w:tooltip="分享到微信" w:history="1"/>
      <w:hyperlink r:id="rId11" w:tooltip="分享到QQ好友" w:history="1"/>
      <w:hyperlink r:id="rId12" w:history="1"/>
    </w:p>
    <w:p w:rsidR="00F34520" w:rsidRDefault="00AC55C8">
      <w:pPr>
        <w:pStyle w:val="a3"/>
        <w:widowControl/>
        <w:wordWrap w:val="0"/>
        <w:spacing w:beforeAutospacing="0" w:afterAutospacing="0" w:line="450" w:lineRule="atLeast"/>
        <w:jc w:val="cente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摘自</w:t>
      </w:r>
      <w:proofErr w:type="gramStart"/>
      <w:r>
        <w:rPr>
          <w:rFonts w:ascii="宋体" w:eastAsia="宋体" w:hAnsi="宋体" w:cs="宋体" w:hint="eastAsia"/>
          <w:color w:val="000000"/>
          <w:sz w:val="21"/>
          <w:szCs w:val="21"/>
        </w:rPr>
        <w:t>遵</w:t>
      </w:r>
      <w:proofErr w:type="gramEnd"/>
      <w:r>
        <w:rPr>
          <w:rFonts w:ascii="宋体" w:eastAsia="宋体" w:hAnsi="宋体" w:cs="宋体" w:hint="eastAsia"/>
          <w:color w:val="000000"/>
          <w:sz w:val="21"/>
          <w:szCs w:val="21"/>
        </w:rPr>
        <w:t>府发〔</w:t>
      </w:r>
      <w:r>
        <w:rPr>
          <w:rFonts w:ascii="宋体" w:eastAsia="宋体" w:hAnsi="宋体" w:cs="宋体" w:hint="eastAsia"/>
          <w:color w:val="000000"/>
          <w:sz w:val="21"/>
          <w:szCs w:val="21"/>
        </w:rPr>
        <w:t>2013</w:t>
      </w:r>
      <w:r>
        <w:rPr>
          <w:rFonts w:ascii="宋体" w:eastAsia="宋体" w:hAnsi="宋体" w:cs="宋体" w:hint="eastAsia"/>
          <w:color w:val="000000"/>
          <w:sz w:val="21"/>
          <w:szCs w:val="21"/>
        </w:rPr>
        <w:t>〕</w:t>
      </w:r>
      <w:r>
        <w:rPr>
          <w:rFonts w:ascii="宋体" w:eastAsia="宋体" w:hAnsi="宋体" w:cs="宋体" w:hint="eastAsia"/>
          <w:color w:val="000000"/>
          <w:sz w:val="21"/>
          <w:szCs w:val="21"/>
        </w:rPr>
        <w:t>24</w:t>
      </w:r>
      <w:r>
        <w:rPr>
          <w:rFonts w:ascii="宋体" w:eastAsia="宋体" w:hAnsi="宋体" w:cs="宋体" w:hint="eastAsia"/>
          <w:color w:val="000000"/>
          <w:sz w:val="21"/>
          <w:szCs w:val="21"/>
        </w:rPr>
        <w:t>号</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一、大力引进各类型和各层次金融机构</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在遵</w:t>
      </w:r>
      <w:r>
        <w:rPr>
          <w:rFonts w:ascii="宋体" w:eastAsia="宋体" w:hAnsi="宋体" w:cs="宋体" w:hint="eastAsia"/>
          <w:color w:val="000000"/>
          <w:sz w:val="21"/>
          <w:szCs w:val="21"/>
        </w:rPr>
        <w:t>义市新设或新引入的总部金融机构和区域性总部金融机构享受如下优惠政策：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（一）开办奖励。对在遵义市新设或新引入的总部金融机构或区域性总部金融机构，由市级财政给予一次性资金补助。其中，对新设或新引入的总部金融机构，注册资本在</w:t>
      </w:r>
      <w:r>
        <w:rPr>
          <w:rFonts w:ascii="宋体" w:eastAsia="宋体" w:hAnsi="宋体" w:cs="宋体" w:hint="eastAsia"/>
          <w:color w:val="000000"/>
          <w:sz w:val="21"/>
          <w:szCs w:val="21"/>
        </w:rPr>
        <w:t xml:space="preserve"> 10 </w:t>
      </w:r>
      <w:r>
        <w:rPr>
          <w:rFonts w:ascii="宋体" w:eastAsia="宋体" w:hAnsi="宋体" w:cs="宋体" w:hint="eastAsia"/>
          <w:color w:val="000000"/>
          <w:sz w:val="21"/>
          <w:szCs w:val="21"/>
        </w:rPr>
        <w:t>亿元（含）以上的，最高补助</w:t>
      </w:r>
      <w:r>
        <w:rPr>
          <w:rFonts w:ascii="宋体" w:eastAsia="宋体" w:hAnsi="宋体" w:cs="宋体" w:hint="eastAsia"/>
          <w:color w:val="000000"/>
          <w:sz w:val="21"/>
          <w:szCs w:val="21"/>
        </w:rPr>
        <w:t xml:space="preserve"> 500 </w:t>
      </w:r>
      <w:r>
        <w:rPr>
          <w:rFonts w:ascii="宋体" w:eastAsia="宋体" w:hAnsi="宋体" w:cs="宋体" w:hint="eastAsia"/>
          <w:color w:val="000000"/>
          <w:sz w:val="21"/>
          <w:szCs w:val="21"/>
        </w:rPr>
        <w:t>万元；注册资本在</w:t>
      </w:r>
      <w:r>
        <w:rPr>
          <w:rFonts w:ascii="宋体" w:eastAsia="宋体" w:hAnsi="宋体" w:cs="宋体" w:hint="eastAsia"/>
          <w:color w:val="000000"/>
          <w:sz w:val="21"/>
          <w:szCs w:val="21"/>
        </w:rPr>
        <w:t xml:space="preserve"> 10 </w:t>
      </w:r>
      <w:r>
        <w:rPr>
          <w:rFonts w:ascii="宋体" w:eastAsia="宋体" w:hAnsi="宋体" w:cs="宋体" w:hint="eastAsia"/>
          <w:color w:val="000000"/>
          <w:sz w:val="21"/>
          <w:szCs w:val="21"/>
        </w:rPr>
        <w:t>亿元以下、</w:t>
      </w:r>
      <w:r>
        <w:rPr>
          <w:rFonts w:ascii="宋体" w:eastAsia="宋体" w:hAnsi="宋体" w:cs="宋体" w:hint="eastAsia"/>
          <w:color w:val="000000"/>
          <w:sz w:val="21"/>
          <w:szCs w:val="21"/>
        </w:rPr>
        <w:t xml:space="preserve">1 </w:t>
      </w:r>
      <w:r>
        <w:rPr>
          <w:rFonts w:ascii="宋体" w:eastAsia="宋体" w:hAnsi="宋体" w:cs="宋体" w:hint="eastAsia"/>
          <w:color w:val="000000"/>
          <w:sz w:val="21"/>
          <w:szCs w:val="21"/>
        </w:rPr>
        <w:t>亿元（含）以上的，最高补助</w:t>
      </w:r>
      <w:r>
        <w:rPr>
          <w:rFonts w:ascii="宋体" w:eastAsia="宋体" w:hAnsi="宋体" w:cs="宋体" w:hint="eastAsia"/>
          <w:color w:val="000000"/>
          <w:sz w:val="21"/>
          <w:szCs w:val="21"/>
        </w:rPr>
        <w:t xml:space="preserve"> 200 </w:t>
      </w:r>
      <w:r>
        <w:rPr>
          <w:rFonts w:ascii="宋体" w:eastAsia="宋体" w:hAnsi="宋体" w:cs="宋体" w:hint="eastAsia"/>
          <w:color w:val="000000"/>
          <w:sz w:val="21"/>
          <w:szCs w:val="21"/>
        </w:rPr>
        <w:t>万元；对新设或新迁入的区域性总部金融机构，一次性补助</w:t>
      </w:r>
      <w:r>
        <w:rPr>
          <w:rFonts w:ascii="宋体" w:eastAsia="宋体" w:hAnsi="宋体" w:cs="宋体" w:hint="eastAsia"/>
          <w:color w:val="000000"/>
          <w:sz w:val="21"/>
          <w:szCs w:val="21"/>
        </w:rPr>
        <w:t xml:space="preserve"> 100</w:t>
      </w:r>
      <w:r>
        <w:rPr>
          <w:rFonts w:ascii="宋体" w:eastAsia="宋体" w:hAnsi="宋体" w:cs="宋体" w:hint="eastAsia"/>
          <w:color w:val="000000"/>
          <w:sz w:val="21"/>
          <w:szCs w:val="21"/>
        </w:rPr>
        <w:t>万元。</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（二）办公用地补贴。为了鼓励落户新蒲新区，对新设或新引入的总部金融机构或区域性总部金融机构，在新蒲</w:t>
      </w:r>
      <w:r>
        <w:rPr>
          <w:rFonts w:ascii="宋体" w:eastAsia="宋体" w:hAnsi="宋体" w:cs="宋体" w:hint="eastAsia"/>
          <w:color w:val="000000"/>
          <w:sz w:val="21"/>
          <w:szCs w:val="21"/>
        </w:rPr>
        <w:t>新区通</w:t>
      </w:r>
      <w:proofErr w:type="gramStart"/>
      <w:r>
        <w:rPr>
          <w:rFonts w:ascii="宋体" w:eastAsia="宋体" w:hAnsi="宋体" w:cs="宋体" w:hint="eastAsia"/>
          <w:color w:val="000000"/>
          <w:sz w:val="21"/>
          <w:szCs w:val="21"/>
        </w:rPr>
        <w:t>过招拍挂取得</w:t>
      </w:r>
      <w:proofErr w:type="gramEnd"/>
      <w:r>
        <w:rPr>
          <w:rFonts w:ascii="宋体" w:eastAsia="宋体" w:hAnsi="宋体" w:cs="宋体" w:hint="eastAsia"/>
          <w:color w:val="000000"/>
          <w:sz w:val="21"/>
          <w:szCs w:val="21"/>
        </w:rPr>
        <w:t>的办公用地，用于修建办公用房的，取得收益财政部门，按该宗土地净收益的</w:t>
      </w:r>
      <w:r>
        <w:rPr>
          <w:rFonts w:ascii="宋体" w:eastAsia="宋体" w:hAnsi="宋体" w:cs="宋体" w:hint="eastAsia"/>
          <w:color w:val="000000"/>
          <w:sz w:val="21"/>
          <w:szCs w:val="21"/>
        </w:rPr>
        <w:t>50%</w:t>
      </w:r>
      <w:r>
        <w:rPr>
          <w:rFonts w:ascii="宋体" w:eastAsia="宋体" w:hAnsi="宋体" w:cs="宋体" w:hint="eastAsia"/>
          <w:color w:val="000000"/>
          <w:sz w:val="21"/>
          <w:szCs w:val="21"/>
        </w:rPr>
        <w:t>给予补助</w:t>
      </w:r>
      <w:r>
        <w:rPr>
          <w:rFonts w:ascii="宋体" w:eastAsia="宋体" w:hAnsi="宋体" w:cs="宋体" w:hint="eastAsia"/>
          <w:color w:val="000000"/>
          <w:sz w:val="21"/>
          <w:szCs w:val="21"/>
        </w:rPr>
        <w:t>,</w:t>
      </w:r>
      <w:r>
        <w:rPr>
          <w:rFonts w:ascii="宋体" w:eastAsia="宋体" w:hAnsi="宋体" w:cs="宋体" w:hint="eastAsia"/>
          <w:color w:val="000000"/>
          <w:sz w:val="21"/>
          <w:szCs w:val="21"/>
        </w:rPr>
        <w:t>最高不超过</w:t>
      </w:r>
      <w:r>
        <w:rPr>
          <w:rFonts w:ascii="宋体" w:eastAsia="宋体" w:hAnsi="宋体" w:cs="宋体" w:hint="eastAsia"/>
          <w:color w:val="000000"/>
          <w:sz w:val="21"/>
          <w:szCs w:val="21"/>
        </w:rPr>
        <w:t>1000</w:t>
      </w:r>
      <w:r>
        <w:rPr>
          <w:rFonts w:ascii="宋体" w:eastAsia="宋体" w:hAnsi="宋体" w:cs="宋体" w:hint="eastAsia"/>
          <w:color w:val="000000"/>
          <w:sz w:val="21"/>
          <w:szCs w:val="21"/>
        </w:rPr>
        <w:t>万元。</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（三）收费优惠。企业在开办过程中，</w:t>
      </w:r>
      <w:proofErr w:type="gramStart"/>
      <w:r>
        <w:rPr>
          <w:rFonts w:ascii="宋体" w:eastAsia="宋体" w:hAnsi="宋体" w:cs="宋体" w:hint="eastAsia"/>
          <w:color w:val="000000"/>
          <w:sz w:val="21"/>
          <w:szCs w:val="21"/>
        </w:rPr>
        <w:t>对应缴市本级</w:t>
      </w:r>
      <w:proofErr w:type="gramEnd"/>
      <w:r>
        <w:rPr>
          <w:rFonts w:ascii="宋体" w:eastAsia="宋体" w:hAnsi="宋体" w:cs="宋体" w:hint="eastAsia"/>
          <w:color w:val="000000"/>
          <w:sz w:val="21"/>
          <w:szCs w:val="21"/>
        </w:rPr>
        <w:t>的各项行政事业性收费予以减免，对不能减免的，按最低收费标准执行。</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二、进一步加大金融人才引进力度</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对新设的各类总部金融机构的高级管理人员，享受如下人才政策：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（一）个人所得税优惠。对新设的各类总部金融机构高级管理人员的个人所得税按我市人才引进政策享受个人所得税优惠政策，即对年缴个人所得税市内留成部分，由市财政按政府支出安</w:t>
      </w:r>
      <w:r>
        <w:rPr>
          <w:rFonts w:ascii="宋体" w:eastAsia="宋体" w:hAnsi="宋体" w:cs="宋体" w:hint="eastAsia"/>
          <w:color w:val="000000"/>
          <w:sz w:val="21"/>
          <w:szCs w:val="21"/>
        </w:rPr>
        <w:t>排奖励给个人。</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（二）住房保障。对新设的各类总部金融机构引进的连续聘用</w:t>
      </w:r>
      <w:r>
        <w:rPr>
          <w:rFonts w:ascii="宋体" w:eastAsia="宋体" w:hAnsi="宋体" w:cs="宋体" w:hint="eastAsia"/>
          <w:color w:val="000000"/>
          <w:sz w:val="21"/>
          <w:szCs w:val="21"/>
        </w:rPr>
        <w:t xml:space="preserve"> 2 </w:t>
      </w:r>
      <w:r>
        <w:rPr>
          <w:rFonts w:ascii="宋体" w:eastAsia="宋体" w:hAnsi="宋体" w:cs="宋体" w:hint="eastAsia"/>
          <w:color w:val="000000"/>
          <w:sz w:val="21"/>
          <w:szCs w:val="21"/>
        </w:rPr>
        <w:t>年以上的高级管理人员，按引进人才的不同层次，享受每年</w:t>
      </w:r>
      <w:r>
        <w:rPr>
          <w:rFonts w:ascii="宋体" w:eastAsia="宋体" w:hAnsi="宋体" w:cs="宋体" w:hint="eastAsia"/>
          <w:color w:val="000000"/>
          <w:sz w:val="21"/>
          <w:szCs w:val="21"/>
        </w:rPr>
        <w:t>1-2.5</w:t>
      </w:r>
      <w:r>
        <w:rPr>
          <w:rFonts w:ascii="宋体" w:eastAsia="宋体" w:hAnsi="宋体" w:cs="宋体" w:hint="eastAsia"/>
          <w:color w:val="000000"/>
          <w:sz w:val="21"/>
          <w:szCs w:val="21"/>
        </w:rPr>
        <w:t>万元不等的租房补贴，由市财政补助。对在遵义购买首套住房的高级管理人员，按引进人才的不同层次享受</w:t>
      </w:r>
      <w:r>
        <w:rPr>
          <w:rFonts w:ascii="宋体" w:eastAsia="宋体" w:hAnsi="宋体" w:cs="宋体" w:hint="eastAsia"/>
          <w:color w:val="000000"/>
          <w:sz w:val="21"/>
          <w:szCs w:val="21"/>
        </w:rPr>
        <w:t>20-80</w:t>
      </w:r>
      <w:r>
        <w:rPr>
          <w:rFonts w:ascii="宋体" w:eastAsia="宋体" w:hAnsi="宋体" w:cs="宋体" w:hint="eastAsia"/>
          <w:color w:val="000000"/>
          <w:sz w:val="21"/>
          <w:szCs w:val="21"/>
        </w:rPr>
        <w:t>万元不等的购房补贴，其中市财政补助</w:t>
      </w:r>
      <w:r>
        <w:rPr>
          <w:rFonts w:ascii="宋体" w:eastAsia="宋体" w:hAnsi="宋体" w:cs="宋体" w:hint="eastAsia"/>
          <w:color w:val="000000"/>
          <w:sz w:val="21"/>
          <w:szCs w:val="21"/>
        </w:rPr>
        <w:t>20%</w:t>
      </w:r>
      <w:r>
        <w:rPr>
          <w:rFonts w:ascii="宋体" w:eastAsia="宋体" w:hAnsi="宋体" w:cs="宋体" w:hint="eastAsia"/>
          <w:color w:val="000000"/>
          <w:sz w:val="21"/>
          <w:szCs w:val="21"/>
        </w:rPr>
        <w:t>，另</w:t>
      </w:r>
      <w:r>
        <w:rPr>
          <w:rFonts w:ascii="宋体" w:eastAsia="宋体" w:hAnsi="宋体" w:cs="宋体" w:hint="eastAsia"/>
          <w:color w:val="000000"/>
          <w:sz w:val="21"/>
          <w:szCs w:val="21"/>
        </w:rPr>
        <w:t>80%</w:t>
      </w:r>
      <w:r>
        <w:rPr>
          <w:rFonts w:ascii="宋体" w:eastAsia="宋体" w:hAnsi="宋体" w:cs="宋体" w:hint="eastAsia"/>
          <w:color w:val="000000"/>
          <w:sz w:val="21"/>
          <w:szCs w:val="21"/>
        </w:rPr>
        <w:t>由所在区、县财政补助。</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（三）其他配套政策。对新设的各类总部金融机构的高级管理人员在社会保险、户口迁移、配偶就业、未成年子女入（转）学等方面享受市人才引进政策。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三、大力促进股权投资机构发展</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在遵义市设立的股权投资企业及股权投资管理企业，享受如下优惠政策：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lastRenderedPageBreak/>
        <w:t xml:space="preserve">　　（一）合伙制股权投资企业，由合伙人分别缴纳个人所得税或企业所得税。股权投资企业的有限合伙人为自然人的，依据国家有关规定，按照“利息、股息、红利所得”或“财产转让所得”项目征收个人所得税。</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（二）股权投资管理企业上缴的营业税、所得税地方留成部分按一定额度予以补助，其中，前</w:t>
      </w:r>
      <w:r>
        <w:rPr>
          <w:rFonts w:ascii="宋体" w:eastAsia="宋体" w:hAnsi="宋体" w:cs="宋体" w:hint="eastAsia"/>
          <w:color w:val="000000"/>
          <w:sz w:val="21"/>
          <w:szCs w:val="21"/>
        </w:rPr>
        <w:t>2</w:t>
      </w:r>
      <w:r>
        <w:rPr>
          <w:rFonts w:ascii="宋体" w:eastAsia="宋体" w:hAnsi="宋体" w:cs="宋体" w:hint="eastAsia"/>
          <w:color w:val="000000"/>
          <w:sz w:val="21"/>
          <w:szCs w:val="21"/>
        </w:rPr>
        <w:t>年全额奖励，后</w:t>
      </w:r>
      <w:r>
        <w:rPr>
          <w:rFonts w:ascii="宋体" w:eastAsia="宋体" w:hAnsi="宋体" w:cs="宋体" w:hint="eastAsia"/>
          <w:color w:val="000000"/>
          <w:sz w:val="21"/>
          <w:szCs w:val="21"/>
        </w:rPr>
        <w:t>3</w:t>
      </w:r>
      <w:r>
        <w:rPr>
          <w:rFonts w:ascii="宋体" w:eastAsia="宋体" w:hAnsi="宋体" w:cs="宋体" w:hint="eastAsia"/>
          <w:color w:val="000000"/>
          <w:sz w:val="21"/>
          <w:szCs w:val="21"/>
        </w:rPr>
        <w:t>年按</w:t>
      </w:r>
      <w:r>
        <w:rPr>
          <w:rFonts w:ascii="宋体" w:eastAsia="宋体" w:hAnsi="宋体" w:cs="宋体" w:hint="eastAsia"/>
          <w:color w:val="000000"/>
          <w:sz w:val="21"/>
          <w:szCs w:val="21"/>
        </w:rPr>
        <w:t>50%</w:t>
      </w:r>
      <w:r>
        <w:rPr>
          <w:rFonts w:ascii="宋体" w:eastAsia="宋体" w:hAnsi="宋体" w:cs="宋体" w:hint="eastAsia"/>
          <w:color w:val="000000"/>
          <w:sz w:val="21"/>
          <w:szCs w:val="21"/>
        </w:rPr>
        <w:t>的额度补助。</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（三）注册在遵义市的股权投资企业投资于本市的企业或项目，尤其是涉及优势特色产业以及高科技的项目，由同级财政按项目退出或</w:t>
      </w:r>
      <w:r>
        <w:rPr>
          <w:rFonts w:ascii="宋体" w:eastAsia="宋体" w:hAnsi="宋体" w:cs="宋体" w:hint="eastAsia"/>
          <w:color w:val="000000"/>
          <w:sz w:val="21"/>
          <w:szCs w:val="21"/>
        </w:rPr>
        <w:t>获得收益后形成的所得税地方分享部分的</w:t>
      </w:r>
      <w:r>
        <w:rPr>
          <w:rFonts w:ascii="宋体" w:eastAsia="宋体" w:hAnsi="宋体" w:cs="宋体" w:hint="eastAsia"/>
          <w:color w:val="000000"/>
          <w:sz w:val="21"/>
          <w:szCs w:val="21"/>
        </w:rPr>
        <w:t>60%</w:t>
      </w:r>
      <w:r>
        <w:rPr>
          <w:rFonts w:ascii="宋体" w:eastAsia="宋体" w:hAnsi="宋体" w:cs="宋体" w:hint="eastAsia"/>
          <w:color w:val="000000"/>
          <w:sz w:val="21"/>
          <w:szCs w:val="21"/>
        </w:rPr>
        <w:t>给予补助。</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（四）对实收资本在</w:t>
      </w:r>
      <w:r>
        <w:rPr>
          <w:rFonts w:ascii="宋体" w:eastAsia="宋体" w:hAnsi="宋体" w:cs="宋体" w:hint="eastAsia"/>
          <w:color w:val="000000"/>
          <w:sz w:val="21"/>
          <w:szCs w:val="21"/>
        </w:rPr>
        <w:t>10</w:t>
      </w:r>
      <w:r>
        <w:rPr>
          <w:rFonts w:ascii="宋体" w:eastAsia="宋体" w:hAnsi="宋体" w:cs="宋体" w:hint="eastAsia"/>
          <w:color w:val="000000"/>
          <w:sz w:val="21"/>
          <w:szCs w:val="21"/>
        </w:rPr>
        <w:t>亿元以上、并且</w:t>
      </w:r>
      <w:r>
        <w:rPr>
          <w:rFonts w:ascii="宋体" w:eastAsia="宋体" w:hAnsi="宋体" w:cs="宋体" w:hint="eastAsia"/>
          <w:color w:val="000000"/>
          <w:sz w:val="21"/>
          <w:szCs w:val="21"/>
        </w:rPr>
        <w:t>50%</w:t>
      </w:r>
      <w:r>
        <w:rPr>
          <w:rFonts w:ascii="宋体" w:eastAsia="宋体" w:hAnsi="宋体" w:cs="宋体" w:hint="eastAsia"/>
          <w:color w:val="000000"/>
          <w:sz w:val="21"/>
          <w:szCs w:val="21"/>
        </w:rPr>
        <w:t>以上资金投资于遵义的股权投资企业，经批准，其股权投资管理企业可享受总部金融机构税收补助政策，其股权投资管理企业的高管人员（每家企业不超过</w:t>
      </w:r>
      <w:r>
        <w:rPr>
          <w:rFonts w:ascii="宋体" w:eastAsia="宋体" w:hAnsi="宋体" w:cs="宋体" w:hint="eastAsia"/>
          <w:color w:val="000000"/>
          <w:sz w:val="21"/>
          <w:szCs w:val="21"/>
        </w:rPr>
        <w:t>5</w:t>
      </w:r>
      <w:r>
        <w:rPr>
          <w:rFonts w:ascii="宋体" w:eastAsia="宋体" w:hAnsi="宋体" w:cs="宋体" w:hint="eastAsia"/>
          <w:color w:val="000000"/>
          <w:sz w:val="21"/>
          <w:szCs w:val="21"/>
        </w:rPr>
        <w:t>名）享受总部金融机构金融人才引进政策。已享受过营业税奖励的不再享受金融机构营业税项目优惠政策。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（五）市政府定期将市内适合股权投资企业投资的优质项目推荐给在本市注册并备案的股权投资管理企业。对股权投资企业投资的本市企业优先列入上市后备企业培育计划，支持其在国内外资本市场</w:t>
      </w:r>
      <w:r>
        <w:rPr>
          <w:rFonts w:ascii="宋体" w:eastAsia="宋体" w:hAnsi="宋体" w:cs="宋体" w:hint="eastAsia"/>
          <w:color w:val="000000"/>
          <w:sz w:val="21"/>
          <w:szCs w:val="21"/>
        </w:rPr>
        <w:t>上市，并享受上市优惠政策。</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五、大力支持开展直接融资</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为优化企业上市奖励政策，进一步提高企业上市积极性，对列入我市上市培育对象名单的</w:t>
      </w:r>
      <w:proofErr w:type="gramStart"/>
      <w:r>
        <w:rPr>
          <w:rFonts w:ascii="宋体" w:eastAsia="宋体" w:hAnsi="宋体" w:cs="宋体" w:hint="eastAsia"/>
          <w:color w:val="000000"/>
          <w:sz w:val="21"/>
          <w:szCs w:val="21"/>
        </w:rPr>
        <w:t>境内拟</w:t>
      </w:r>
      <w:proofErr w:type="gramEnd"/>
      <w:r>
        <w:rPr>
          <w:rFonts w:ascii="宋体" w:eastAsia="宋体" w:hAnsi="宋体" w:cs="宋体" w:hint="eastAsia"/>
          <w:color w:val="000000"/>
          <w:sz w:val="21"/>
          <w:szCs w:val="21"/>
        </w:rPr>
        <w:t>上市企业，按《遵义市人民政府关于加快推进我市企业上市的意见》企业上市扶持奖励政策进行奖励：公司进入上市辅导后，对其发生的上市前期费用，由市财政给予</w:t>
      </w:r>
      <w:r>
        <w:rPr>
          <w:rFonts w:ascii="宋体" w:eastAsia="宋体" w:hAnsi="宋体" w:cs="宋体" w:hint="eastAsia"/>
          <w:color w:val="000000"/>
          <w:sz w:val="21"/>
          <w:szCs w:val="21"/>
        </w:rPr>
        <w:t>50</w:t>
      </w:r>
      <w:r>
        <w:rPr>
          <w:rFonts w:ascii="宋体" w:eastAsia="宋体" w:hAnsi="宋体" w:cs="宋体" w:hint="eastAsia"/>
          <w:color w:val="000000"/>
          <w:sz w:val="21"/>
          <w:szCs w:val="21"/>
        </w:rPr>
        <w:t>万元的补助。对通过上市发行股票实现境内上市的公司，以及实现境外上市，所募集资金的</w:t>
      </w:r>
      <w:r>
        <w:rPr>
          <w:rFonts w:ascii="宋体" w:eastAsia="宋体" w:hAnsi="宋体" w:cs="宋体" w:hint="eastAsia"/>
          <w:color w:val="000000"/>
          <w:sz w:val="21"/>
          <w:szCs w:val="21"/>
        </w:rPr>
        <w:t>80%</w:t>
      </w:r>
      <w:r>
        <w:rPr>
          <w:rFonts w:ascii="宋体" w:eastAsia="宋体" w:hAnsi="宋体" w:cs="宋体" w:hint="eastAsia"/>
          <w:color w:val="000000"/>
          <w:sz w:val="21"/>
          <w:szCs w:val="21"/>
        </w:rPr>
        <w:t>以上投资于我市项目的公司，市政府一次性奖励</w:t>
      </w:r>
      <w:r>
        <w:rPr>
          <w:rFonts w:ascii="宋体" w:eastAsia="宋体" w:hAnsi="宋体" w:cs="宋体" w:hint="eastAsia"/>
          <w:color w:val="000000"/>
          <w:sz w:val="21"/>
          <w:szCs w:val="21"/>
        </w:rPr>
        <w:t>100</w:t>
      </w:r>
      <w:r>
        <w:rPr>
          <w:rFonts w:ascii="宋体" w:eastAsia="宋体" w:hAnsi="宋体" w:cs="宋体" w:hint="eastAsia"/>
          <w:color w:val="000000"/>
          <w:sz w:val="21"/>
          <w:szCs w:val="21"/>
        </w:rPr>
        <w:t>万元。对通过买（借）</w:t>
      </w:r>
      <w:proofErr w:type="gramStart"/>
      <w:r>
        <w:rPr>
          <w:rFonts w:ascii="宋体" w:eastAsia="宋体" w:hAnsi="宋体" w:cs="宋体" w:hint="eastAsia"/>
          <w:color w:val="000000"/>
          <w:sz w:val="21"/>
          <w:szCs w:val="21"/>
        </w:rPr>
        <w:t>壳实现</w:t>
      </w:r>
      <w:proofErr w:type="gramEnd"/>
      <w:r>
        <w:rPr>
          <w:rFonts w:ascii="宋体" w:eastAsia="宋体" w:hAnsi="宋体" w:cs="宋体" w:hint="eastAsia"/>
          <w:color w:val="000000"/>
          <w:sz w:val="21"/>
          <w:szCs w:val="21"/>
        </w:rPr>
        <w:t>境内上市，并把上市公司注册地迁入我市、纳税登记在我市的公司，市政府一次性奖励</w:t>
      </w:r>
      <w:r>
        <w:rPr>
          <w:rFonts w:ascii="宋体" w:eastAsia="宋体" w:hAnsi="宋体" w:cs="宋体" w:hint="eastAsia"/>
          <w:color w:val="000000"/>
          <w:sz w:val="21"/>
          <w:szCs w:val="21"/>
        </w:rPr>
        <w:t>150</w:t>
      </w:r>
      <w:r>
        <w:rPr>
          <w:rFonts w:ascii="宋体" w:eastAsia="宋体" w:hAnsi="宋体" w:cs="宋体" w:hint="eastAsia"/>
          <w:color w:val="000000"/>
          <w:sz w:val="21"/>
          <w:szCs w:val="21"/>
        </w:rPr>
        <w:t>万元。</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加强企业上市宣传培训</w:t>
      </w:r>
      <w:r>
        <w:rPr>
          <w:rFonts w:ascii="宋体" w:eastAsia="宋体" w:hAnsi="宋体" w:cs="宋体" w:hint="eastAsia"/>
          <w:color w:val="000000"/>
          <w:sz w:val="21"/>
          <w:szCs w:val="21"/>
        </w:rPr>
        <w:t>，提高企业利用资本市场做大做强的意识。对拟上市企业进行分类培育，通过逐家跟踪服务、协调解决存在问题，加大政策落实力度。积极发掘有潜力的企业，引导符合产业政策、具有发展潜力的企业进行股份制改造，滚动培育上市后备资源。鼓励和推动企业引入股权投资基金，充分发挥股权投资基金增值服务作用和融资功能，优化股权结构，推进企业完善公司治理，提升企业总体实力，为企业上市提供良好的基础。</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支持企业进一步加强债券发行工作。加强与中债公司、银行间市场交易商协会、国内外知名券商合作，并与其建立起中长期合作框架协议；加强债券市场培</w:t>
      </w:r>
      <w:r>
        <w:rPr>
          <w:rFonts w:ascii="宋体" w:eastAsia="宋体" w:hAnsi="宋体" w:cs="宋体" w:hint="eastAsia"/>
          <w:color w:val="000000"/>
          <w:sz w:val="21"/>
          <w:szCs w:val="21"/>
        </w:rPr>
        <w:t>育，建立拟发债企业储备库；市政府每年安排一定额度的中小企业发债基金，为中小企业发债提供担保；对企业在证券市场或银行间债券市场成功发行债券的，按发债募集额度给予适当的奖励：对企业发行</w:t>
      </w:r>
      <w:r>
        <w:rPr>
          <w:rFonts w:ascii="宋体" w:eastAsia="宋体" w:hAnsi="宋体" w:cs="宋体" w:hint="eastAsia"/>
          <w:color w:val="000000"/>
          <w:sz w:val="21"/>
          <w:szCs w:val="21"/>
        </w:rPr>
        <w:lastRenderedPageBreak/>
        <w:t>短期（超短期）融资</w:t>
      </w:r>
      <w:proofErr w:type="gramStart"/>
      <w:r>
        <w:rPr>
          <w:rFonts w:ascii="宋体" w:eastAsia="宋体" w:hAnsi="宋体" w:cs="宋体" w:hint="eastAsia"/>
          <w:color w:val="000000"/>
          <w:sz w:val="21"/>
          <w:szCs w:val="21"/>
        </w:rPr>
        <w:t>券</w:t>
      </w:r>
      <w:proofErr w:type="gramEnd"/>
      <w:r>
        <w:rPr>
          <w:rFonts w:ascii="宋体" w:eastAsia="宋体" w:hAnsi="宋体" w:cs="宋体" w:hint="eastAsia"/>
          <w:color w:val="000000"/>
          <w:sz w:val="21"/>
          <w:szCs w:val="21"/>
        </w:rPr>
        <w:t>的，按照其融资额的</w:t>
      </w:r>
      <w:r>
        <w:rPr>
          <w:rFonts w:ascii="宋体" w:eastAsia="宋体" w:hAnsi="宋体" w:cs="宋体" w:hint="eastAsia"/>
          <w:color w:val="000000"/>
          <w:sz w:val="21"/>
          <w:szCs w:val="21"/>
        </w:rPr>
        <w:t>1</w:t>
      </w:r>
      <w:r>
        <w:rPr>
          <w:rFonts w:ascii="宋体" w:eastAsia="宋体" w:hAnsi="宋体" w:cs="宋体" w:hint="eastAsia"/>
          <w:color w:val="000000"/>
          <w:sz w:val="21"/>
          <w:szCs w:val="21"/>
        </w:rPr>
        <w:t>‰给予奖励，最高不超过</w:t>
      </w:r>
      <w:r>
        <w:rPr>
          <w:rFonts w:ascii="宋体" w:eastAsia="宋体" w:hAnsi="宋体" w:cs="宋体" w:hint="eastAsia"/>
          <w:color w:val="000000"/>
          <w:sz w:val="21"/>
          <w:szCs w:val="21"/>
        </w:rPr>
        <w:t>30</w:t>
      </w:r>
      <w:r>
        <w:rPr>
          <w:rFonts w:ascii="宋体" w:eastAsia="宋体" w:hAnsi="宋体" w:cs="宋体" w:hint="eastAsia"/>
          <w:color w:val="000000"/>
          <w:sz w:val="21"/>
          <w:szCs w:val="21"/>
        </w:rPr>
        <w:t>万元；发行企业债券、中期票据、中小企业集合票据（债券）的，按照其融资额的</w:t>
      </w:r>
      <w:r>
        <w:rPr>
          <w:rFonts w:ascii="宋体" w:eastAsia="宋体" w:hAnsi="宋体" w:cs="宋体" w:hint="eastAsia"/>
          <w:color w:val="000000"/>
          <w:sz w:val="21"/>
          <w:szCs w:val="21"/>
        </w:rPr>
        <w:t>1</w:t>
      </w:r>
      <w:r>
        <w:rPr>
          <w:rFonts w:ascii="宋体" w:eastAsia="宋体" w:hAnsi="宋体" w:cs="宋体" w:hint="eastAsia"/>
          <w:color w:val="000000"/>
          <w:sz w:val="21"/>
          <w:szCs w:val="21"/>
        </w:rPr>
        <w:t>‰给予奖励，最高不超过</w:t>
      </w:r>
      <w:r>
        <w:rPr>
          <w:rFonts w:ascii="宋体" w:eastAsia="宋体" w:hAnsi="宋体" w:cs="宋体" w:hint="eastAsia"/>
          <w:color w:val="000000"/>
          <w:sz w:val="21"/>
          <w:szCs w:val="21"/>
        </w:rPr>
        <w:t>50</w:t>
      </w:r>
      <w:r>
        <w:rPr>
          <w:rFonts w:ascii="宋体" w:eastAsia="宋体" w:hAnsi="宋体" w:cs="宋体" w:hint="eastAsia"/>
          <w:color w:val="000000"/>
          <w:sz w:val="21"/>
          <w:szCs w:val="21"/>
        </w:rPr>
        <w:t>万元。</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六、大力发展各类新型金融组织</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规范发展小额贷款公司、村镇银行、农村保险互助社等新型金融组织。加强政策落实，积极贯彻国务院和省政府出台的支持各类新型金融</w:t>
      </w:r>
      <w:r>
        <w:rPr>
          <w:rFonts w:ascii="宋体" w:eastAsia="宋体" w:hAnsi="宋体" w:cs="宋体" w:hint="eastAsia"/>
          <w:color w:val="000000"/>
          <w:sz w:val="21"/>
          <w:szCs w:val="21"/>
        </w:rPr>
        <w:t>组织发展的扶持政策，鼓励各县（市、区）加大政策扶持力度，加快组建各类新型金融组织的步伐。鼓励符合条件的小额贷款公司转制成村镇银行，着力缓解“三农”和小</w:t>
      </w:r>
      <w:proofErr w:type="gramStart"/>
      <w:r>
        <w:rPr>
          <w:rFonts w:ascii="宋体" w:eastAsia="宋体" w:hAnsi="宋体" w:cs="宋体" w:hint="eastAsia"/>
          <w:color w:val="000000"/>
          <w:sz w:val="21"/>
          <w:szCs w:val="21"/>
        </w:rPr>
        <w:t>微企业</w:t>
      </w:r>
      <w:proofErr w:type="gramEnd"/>
      <w:r>
        <w:rPr>
          <w:rFonts w:ascii="宋体" w:eastAsia="宋体" w:hAnsi="宋体" w:cs="宋体" w:hint="eastAsia"/>
          <w:color w:val="000000"/>
          <w:sz w:val="21"/>
          <w:szCs w:val="21"/>
        </w:rPr>
        <w:t>融资难问题。</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贯彻落实《贵州省人民政府办公厅关于进一步促进全省小额贷款公司又好又快发展的意见》和《贵州省人民政府办公厅关于进一步促进融资性担保行业发展的意见》精神，加强规划布局，有序扩大遵义市小额贷款公司覆盖面；加强扶持政策落实力度，对合</w:t>
      </w:r>
      <w:proofErr w:type="gramStart"/>
      <w:r>
        <w:rPr>
          <w:rFonts w:ascii="宋体" w:eastAsia="宋体" w:hAnsi="宋体" w:cs="宋体" w:hint="eastAsia"/>
          <w:color w:val="000000"/>
          <w:sz w:val="21"/>
          <w:szCs w:val="21"/>
        </w:rPr>
        <w:t>规</w:t>
      </w:r>
      <w:proofErr w:type="gramEnd"/>
      <w:r>
        <w:rPr>
          <w:rFonts w:ascii="宋体" w:eastAsia="宋体" w:hAnsi="宋体" w:cs="宋体" w:hint="eastAsia"/>
          <w:color w:val="000000"/>
          <w:sz w:val="21"/>
          <w:szCs w:val="21"/>
        </w:rPr>
        <w:t>经营、服务“三农”和小微型企业成效显著的小额贷款公司，由市政府组织认定按有关规定给予表彰或适当奖励，具体办法由市</w:t>
      </w:r>
      <w:r>
        <w:rPr>
          <w:rFonts w:ascii="宋体" w:eastAsia="宋体" w:hAnsi="宋体" w:cs="宋体" w:hint="eastAsia"/>
          <w:color w:val="000000"/>
          <w:sz w:val="21"/>
          <w:szCs w:val="21"/>
        </w:rPr>
        <w:t>政府金融办组织制定。</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七、加强投融资体制建设</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深化投融资体制改革。推动市级有关部门进一步树立经营城市的理念，促进我市城市资源、资产、资金、资本的有序转化和效益最大化。建立“政府主导、产业化发展、市场化运作、企业化经营、法制化管理”的新型城市建设投融资体制。实现多元化投融资主体、多元化融资渠道的发展战略。根据“谁投资谁受益”原则，吸引更多的外资和民间资本进入我市城市建设领域。积极学习和借鉴其他城市的成功经验，结合自身特点和优势资源，改革创新符合我市可持续发展的投融资体制。</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八、加强金融集聚区建设</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依托遵义的区位优势，通过政府主导推动，加快金融机构聚集。根据发展定位，努力将新蒲新区打造成为以金融后台服务和金融服务外包为基本特色的金融商务区。新蒲新区要加快编制遵义市金融业集聚发展规划，会同市金融办等市级有关部门加快制定完善吸引金融机构入驻的优惠政策，加快推进金融商务区配套的基础设施建设，积极完善金融机构聚集和发展的各项软硬件功能，构建有形载体，分阶段、有重点地引导金融机构入驻。</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设立遵义市金融业发展专项资金。在整合现有支持金融业发展资金基础上，市政府每年安排一定资金，专项用于促进遵义金融业加快</w:t>
      </w:r>
      <w:r>
        <w:rPr>
          <w:rFonts w:ascii="宋体" w:eastAsia="宋体" w:hAnsi="宋体" w:cs="宋体" w:hint="eastAsia"/>
          <w:color w:val="000000"/>
          <w:sz w:val="21"/>
          <w:szCs w:val="21"/>
        </w:rPr>
        <w:t>发展。有条件的各县（市、区）也要安排相应的配套资金。</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t xml:space="preserve">　　九、加强信用体系建设</w:t>
      </w:r>
    </w:p>
    <w:p w:rsidR="00F34520" w:rsidRDefault="00AC55C8">
      <w:pPr>
        <w:pStyle w:val="a3"/>
        <w:widowControl/>
        <w:wordWrap w:val="0"/>
        <w:spacing w:beforeAutospacing="0" w:afterAutospacing="0" w:line="450" w:lineRule="atLeast"/>
      </w:pPr>
      <w:r>
        <w:rPr>
          <w:rFonts w:ascii="宋体" w:eastAsia="宋体" w:hAnsi="宋体" w:cs="宋体" w:hint="eastAsia"/>
          <w:color w:val="000000"/>
          <w:sz w:val="21"/>
          <w:szCs w:val="21"/>
        </w:rPr>
        <w:lastRenderedPageBreak/>
        <w:t xml:space="preserve">　　引导金融机构加大对地方经济的支持力度，改善金融服务，规范征信活动，打造“诚信受益，失信惩戒”的社会环境。加强社会信用体系建设，严厉打击恶意逃废银行债务行为，有效维护金融债权，形成以政府信用为主导、企业信用为重点、个人信用为基础的社会信用体系，信用环境进一步优化；完善政府、银行、企业协调沟通机制，银企关系融洽，国家货币政策得到有效贯彻落实，信贷投入保持合理增长，信贷结构进一步优化，金融服务水平明显提高；深入整顿规范市场经济和金</w:t>
      </w:r>
      <w:r>
        <w:rPr>
          <w:rFonts w:ascii="宋体" w:eastAsia="宋体" w:hAnsi="宋体" w:cs="宋体" w:hint="eastAsia"/>
          <w:color w:val="000000"/>
          <w:sz w:val="21"/>
          <w:szCs w:val="21"/>
        </w:rPr>
        <w:t>融秩序，严厉打击金融犯罪，金融运行平稳，金融机构资产质量、经营效益明显提高；建立金融行业信用体系建设长效机制，完善区域信用评价体系，加大对守信企业的金融支持力度，促进金融生态环境优化，提高金融支持经济发展能力。</w:t>
      </w:r>
    </w:p>
    <w:p w:rsidR="00AC55C8" w:rsidRDefault="00AC55C8" w:rsidP="00AC55C8">
      <w:pPr>
        <w:pStyle w:val="1"/>
        <w:shd w:val="clear" w:color="auto" w:fill="FFFFFF"/>
        <w:spacing w:before="0" w:beforeAutospacing="0" w:after="0" w:afterAutospacing="0" w:line="520" w:lineRule="atLeast"/>
        <w:jc w:val="both"/>
        <w:rPr>
          <w:rFonts w:ascii="微软雅黑" w:eastAsia="微软雅黑" w:hAnsi="微软雅黑"/>
          <w:color w:val="4A4A4A"/>
          <w:sz w:val="27"/>
          <w:szCs w:val="27"/>
        </w:rPr>
      </w:pPr>
      <w:r>
        <w:rPr>
          <w:rFonts w:ascii="仿宋_GB2312" w:eastAsia="仿宋_GB2312" w:hAnsi="微软雅黑" w:hint="eastAsia"/>
          <w:b/>
          <w:bCs/>
          <w:sz w:val="30"/>
          <w:szCs w:val="30"/>
        </w:rPr>
        <w:t>注释：</w:t>
      </w:r>
    </w:p>
    <w:p w:rsidR="00AC55C8" w:rsidRDefault="00AC55C8" w:rsidP="00AC55C8">
      <w:pPr>
        <w:pStyle w:val="1"/>
        <w:shd w:val="clear" w:color="auto" w:fill="FFFFFF"/>
        <w:spacing w:before="0" w:beforeAutospacing="0" w:after="0" w:afterAutospacing="0" w:line="520" w:lineRule="atLeast"/>
        <w:ind w:firstLine="641"/>
        <w:jc w:val="both"/>
        <w:rPr>
          <w:rFonts w:ascii="微软雅黑" w:eastAsia="微软雅黑" w:hAnsi="微软雅黑" w:hint="eastAsia"/>
          <w:color w:val="4A4A4A"/>
          <w:sz w:val="27"/>
          <w:szCs w:val="27"/>
        </w:rPr>
      </w:pPr>
      <w:r>
        <w:rPr>
          <w:rFonts w:ascii="仿宋_GB2312" w:eastAsia="仿宋_GB2312" w:hAnsi="微软雅黑" w:hint="eastAsia"/>
          <w:sz w:val="30"/>
          <w:szCs w:val="30"/>
        </w:rPr>
        <w:t>金融机构：银行、证券、保险、期货、信托、金融租赁等金融机构。</w:t>
      </w:r>
    </w:p>
    <w:p w:rsidR="00AC55C8" w:rsidRDefault="00AC55C8" w:rsidP="00AC55C8">
      <w:pPr>
        <w:pStyle w:val="1"/>
        <w:shd w:val="clear" w:color="auto" w:fill="FFFFFF"/>
        <w:spacing w:before="0" w:beforeAutospacing="0" w:after="0" w:afterAutospacing="0" w:line="520" w:lineRule="atLeast"/>
        <w:ind w:firstLine="641"/>
        <w:jc w:val="both"/>
        <w:rPr>
          <w:rFonts w:ascii="微软雅黑" w:eastAsia="微软雅黑" w:hAnsi="微软雅黑" w:hint="eastAsia"/>
          <w:color w:val="4A4A4A"/>
          <w:sz w:val="27"/>
          <w:szCs w:val="27"/>
        </w:rPr>
      </w:pPr>
      <w:r>
        <w:rPr>
          <w:rFonts w:ascii="仿宋_GB2312" w:eastAsia="仿宋_GB2312" w:hAnsi="微软雅黑" w:hint="eastAsia"/>
          <w:sz w:val="30"/>
          <w:szCs w:val="30"/>
        </w:rPr>
        <w:t>总部金融机构：注册地址和主要办公场所在遵义市、业务范围跨省的一级法人金融机构。</w:t>
      </w:r>
    </w:p>
    <w:p w:rsidR="00AC55C8" w:rsidRDefault="00AC55C8" w:rsidP="00AC55C8">
      <w:pPr>
        <w:pStyle w:val="1"/>
        <w:shd w:val="clear" w:color="auto" w:fill="FFFFFF"/>
        <w:spacing w:before="0" w:beforeAutospacing="0" w:after="0" w:afterAutospacing="0" w:line="520" w:lineRule="atLeast"/>
        <w:ind w:firstLine="641"/>
        <w:jc w:val="both"/>
        <w:rPr>
          <w:rFonts w:ascii="微软雅黑" w:eastAsia="微软雅黑" w:hAnsi="微软雅黑" w:hint="eastAsia"/>
          <w:color w:val="4A4A4A"/>
          <w:sz w:val="27"/>
          <w:szCs w:val="27"/>
        </w:rPr>
      </w:pPr>
      <w:r>
        <w:rPr>
          <w:rFonts w:ascii="仿宋_GB2312" w:eastAsia="仿宋_GB2312" w:hAnsi="微软雅黑" w:hint="eastAsia"/>
          <w:sz w:val="30"/>
          <w:szCs w:val="30"/>
        </w:rPr>
        <w:t>区域性总部金融机构：直接隶属于法人总部金融机构的业务总部、营运中心、研究中心等，或业务范围跨地级市或跨省的分支机构；</w:t>
      </w:r>
    </w:p>
    <w:p w:rsidR="00AC55C8" w:rsidRDefault="00AC55C8" w:rsidP="00AC55C8">
      <w:pPr>
        <w:pStyle w:val="1"/>
        <w:shd w:val="clear" w:color="auto" w:fill="FFFFFF"/>
        <w:spacing w:before="0" w:beforeAutospacing="0" w:after="0" w:afterAutospacing="0" w:line="520" w:lineRule="atLeast"/>
        <w:ind w:firstLine="641"/>
        <w:jc w:val="both"/>
        <w:rPr>
          <w:rFonts w:ascii="微软雅黑" w:eastAsia="微软雅黑" w:hAnsi="微软雅黑" w:hint="eastAsia"/>
          <w:color w:val="4A4A4A"/>
          <w:sz w:val="27"/>
          <w:szCs w:val="27"/>
        </w:rPr>
      </w:pPr>
      <w:r>
        <w:rPr>
          <w:rFonts w:ascii="仿宋_GB2312" w:eastAsia="仿宋_GB2312" w:hAnsi="微软雅黑" w:hint="eastAsia"/>
          <w:sz w:val="30"/>
          <w:szCs w:val="30"/>
        </w:rPr>
        <w:t>金融机构分支机构：属于业务范围跨地级市的省级或跨省的法人金融机构的分支机构，或省级分支机构的市级分支机构。</w:t>
      </w:r>
    </w:p>
    <w:p w:rsidR="00AC55C8" w:rsidRDefault="00AC55C8" w:rsidP="00AC55C8">
      <w:pPr>
        <w:pStyle w:val="1"/>
        <w:shd w:val="clear" w:color="auto" w:fill="FFFFFF"/>
        <w:spacing w:before="0" w:beforeAutospacing="0" w:after="0" w:afterAutospacing="0" w:line="520" w:lineRule="atLeast"/>
        <w:ind w:firstLine="641"/>
        <w:jc w:val="both"/>
        <w:rPr>
          <w:rFonts w:ascii="微软雅黑" w:eastAsia="微软雅黑" w:hAnsi="微软雅黑" w:hint="eastAsia"/>
          <w:color w:val="4A4A4A"/>
          <w:sz w:val="27"/>
          <w:szCs w:val="27"/>
        </w:rPr>
      </w:pPr>
      <w:r>
        <w:rPr>
          <w:rFonts w:ascii="仿宋_GB2312" w:eastAsia="仿宋_GB2312" w:hAnsi="微软雅黑" w:hint="eastAsia"/>
          <w:sz w:val="30"/>
          <w:szCs w:val="30"/>
        </w:rPr>
        <w:t>金融人才：指企业高级管理人员，具体包括总部金融机构的董事长、副董事长、总经理（行长）、副总经理（副行长）、监事长、董事会秘书，区域性总部金融机构的总经理（行长）。</w:t>
      </w:r>
    </w:p>
    <w:p w:rsidR="00AC55C8" w:rsidRDefault="00AC55C8" w:rsidP="00AC55C8">
      <w:pPr>
        <w:pStyle w:val="1"/>
        <w:shd w:val="clear" w:color="auto" w:fill="FFFFFF"/>
        <w:spacing w:before="0" w:beforeAutospacing="0" w:after="0" w:afterAutospacing="0" w:line="520" w:lineRule="atLeast"/>
        <w:ind w:firstLine="640"/>
        <w:jc w:val="both"/>
        <w:rPr>
          <w:rFonts w:ascii="微软雅黑" w:eastAsia="微软雅黑" w:hAnsi="微软雅黑" w:hint="eastAsia"/>
          <w:color w:val="4A4A4A"/>
          <w:sz w:val="27"/>
          <w:szCs w:val="27"/>
        </w:rPr>
      </w:pPr>
      <w:r>
        <w:rPr>
          <w:rFonts w:ascii="仿宋_GB2312" w:eastAsia="仿宋_GB2312" w:hAnsi="微软雅黑" w:hint="eastAsia"/>
          <w:sz w:val="30"/>
          <w:szCs w:val="30"/>
        </w:rPr>
        <w:t>股权投资企业：指依法设立并以股权投资为主要经营业务的企业。股权投资管理企业是指受股权投资企业委托，以股权投资管理为主要经营业务的企业。</w:t>
      </w:r>
    </w:p>
    <w:p w:rsidR="00F34520" w:rsidRPr="00AC55C8" w:rsidRDefault="00F34520">
      <w:bookmarkStart w:id="0" w:name="_GoBack"/>
      <w:bookmarkEnd w:id="0"/>
    </w:p>
    <w:sectPr w:rsidR="00F34520" w:rsidRPr="00AC5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20"/>
    <w:rsid w:val="00AC55C8"/>
    <w:rsid w:val="00F34520"/>
    <w:rsid w:val="7E74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1B76AE-CF32-4D4C-B6C9-A779A0C6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customStyle="1" w:styleId="1">
    <w:name w:val="1"/>
    <w:basedOn w:val="a"/>
    <w:rsid w:val="00AC55C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yhhg.gov.cn/doc/2018/04/28/108632.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yhhg.gov.cn/doc/2018/04/28/javascript:void(0);" TargetMode="External"/><Relationship Id="rId12" Type="http://schemas.openxmlformats.org/officeDocument/2006/relationships/hyperlink" Target="http://www.zyhhg.gov.cn/doc/2018/04/28/108632.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yhhg.gov.cn/doc/2018/04/28/javascript:void(0);" TargetMode="External"/><Relationship Id="rId11" Type="http://schemas.openxmlformats.org/officeDocument/2006/relationships/hyperlink" Target="http://www.zyhhg.gov.cn/doc/2018/04/28/108632.shtml" TargetMode="External"/><Relationship Id="rId5" Type="http://schemas.openxmlformats.org/officeDocument/2006/relationships/hyperlink" Target="http://www.zyhhg.gov.cn/doc/2018/04/28/javascript:void(0);" TargetMode="External"/><Relationship Id="rId10" Type="http://schemas.openxmlformats.org/officeDocument/2006/relationships/hyperlink" Target="http://www.zyhhg.gov.cn/doc/2018/04/28/108632.shtml" TargetMode="External"/><Relationship Id="rId4" Type="http://schemas.openxmlformats.org/officeDocument/2006/relationships/webSettings" Target="webSettings.xml"/><Relationship Id="rId9" Type="http://schemas.openxmlformats.org/officeDocument/2006/relationships/hyperlink" Target="http://www.zyhhg.gov.cn/doc/2018/04/28/108632.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637</Words>
  <Characters>3635</Characters>
  <Application>Microsoft Office Word</Application>
  <DocSecurity>0</DocSecurity>
  <Lines>30</Lines>
  <Paragraphs>8</Paragraphs>
  <ScaleCrop>false</ScaleCrop>
  <Company>微软中国</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个人用户</cp:lastModifiedBy>
  <cp:revision>2</cp:revision>
  <dcterms:created xsi:type="dcterms:W3CDTF">2014-10-29T12:08:00Z</dcterms:created>
  <dcterms:modified xsi:type="dcterms:W3CDTF">2018-08-27T07:28:00Z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