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9D4E3" w14:textId="77777777" w:rsidR="00DC2EED" w:rsidRPr="00DC2EED" w:rsidRDefault="00DC2EED" w:rsidP="00DC2EED">
      <w:pPr>
        <w:widowControl/>
        <w:shd w:val="clear" w:color="auto" w:fill="FFFFFF"/>
        <w:spacing w:after="150" w:line="600" w:lineRule="atLeast"/>
        <w:jc w:val="center"/>
        <w:outlineLvl w:val="0"/>
        <w:rPr>
          <w:rFonts w:ascii="宋体" w:eastAsia="宋体" w:hAnsi="宋体" w:cs="宋体"/>
          <w:b/>
          <w:bCs/>
          <w:color w:val="4D4D4D"/>
          <w:kern w:val="36"/>
          <w:sz w:val="35"/>
          <w:szCs w:val="35"/>
        </w:rPr>
      </w:pPr>
      <w:bookmarkStart w:id="0" w:name="_GoBack"/>
      <w:r w:rsidRPr="00DC2EED">
        <w:rPr>
          <w:rFonts w:ascii="宋体" w:eastAsia="宋体" w:hAnsi="宋体" w:cs="宋体" w:hint="eastAsia"/>
          <w:b/>
          <w:bCs/>
          <w:color w:val="4D4D4D"/>
          <w:kern w:val="36"/>
          <w:sz w:val="35"/>
          <w:szCs w:val="35"/>
        </w:rPr>
        <w:t>关于2016-2020年新能源汽车推广应用财政支持政策的通知</w:t>
      </w:r>
      <w:bookmarkEnd w:id="0"/>
    </w:p>
    <w:p w14:paraId="56D8EC91" w14:textId="77777777" w:rsidR="00DC2EED" w:rsidRPr="00DC2EED" w:rsidRDefault="00DC2EED" w:rsidP="00DC2EED">
      <w:pPr>
        <w:widowControl/>
        <w:shd w:val="clear" w:color="auto" w:fill="EEF8FE"/>
        <w:spacing w:line="390" w:lineRule="atLeast"/>
        <w:jc w:val="center"/>
        <w:rPr>
          <w:rFonts w:ascii="宋体" w:eastAsia="宋体" w:hAnsi="宋体" w:cs="宋体" w:hint="eastAsia"/>
          <w:color w:val="4D4D4D"/>
          <w:kern w:val="0"/>
          <w:sz w:val="18"/>
          <w:szCs w:val="18"/>
        </w:rPr>
      </w:pPr>
      <w:r w:rsidRPr="00DC2EED">
        <w:rPr>
          <w:rFonts w:ascii="宋体" w:eastAsia="宋体" w:hAnsi="宋体" w:cs="宋体" w:hint="eastAsia"/>
          <w:color w:val="4D4D4D"/>
          <w:kern w:val="0"/>
          <w:sz w:val="18"/>
          <w:szCs w:val="18"/>
        </w:rPr>
        <w:t>信息来源：省财政厅     发稿编辑：省财政厅    发布时间：2015-05-04 00:00:00   【字体：</w:t>
      </w:r>
      <w:hyperlink r:id="rId6" w:history="1">
        <w:r w:rsidRPr="00DC2EED">
          <w:rPr>
            <w:rFonts w:ascii="宋体" w:eastAsia="宋体" w:hAnsi="宋体" w:cs="宋体" w:hint="eastAsia"/>
            <w:color w:val="303030"/>
            <w:kern w:val="0"/>
            <w:sz w:val="18"/>
            <w:szCs w:val="18"/>
            <w:u w:val="single"/>
          </w:rPr>
          <w:t>大</w:t>
        </w:r>
      </w:hyperlink>
      <w:r w:rsidRPr="00DC2EED">
        <w:rPr>
          <w:rFonts w:ascii="宋体" w:eastAsia="宋体" w:hAnsi="宋体" w:cs="宋体" w:hint="eastAsia"/>
          <w:color w:val="4D4D4D"/>
          <w:kern w:val="0"/>
          <w:sz w:val="18"/>
          <w:szCs w:val="18"/>
        </w:rPr>
        <w:t> | </w:t>
      </w:r>
      <w:hyperlink r:id="rId7" w:history="1">
        <w:r w:rsidRPr="00DC2EED">
          <w:rPr>
            <w:rFonts w:ascii="宋体" w:eastAsia="宋体" w:hAnsi="宋体" w:cs="宋体" w:hint="eastAsia"/>
            <w:color w:val="303030"/>
            <w:kern w:val="0"/>
            <w:sz w:val="18"/>
            <w:szCs w:val="18"/>
            <w:u w:val="single"/>
          </w:rPr>
          <w:t>中</w:t>
        </w:r>
      </w:hyperlink>
      <w:r w:rsidRPr="00DC2EED">
        <w:rPr>
          <w:rFonts w:ascii="宋体" w:eastAsia="宋体" w:hAnsi="宋体" w:cs="宋体" w:hint="eastAsia"/>
          <w:color w:val="4D4D4D"/>
          <w:kern w:val="0"/>
          <w:sz w:val="18"/>
          <w:szCs w:val="18"/>
        </w:rPr>
        <w:t> | </w:t>
      </w:r>
      <w:hyperlink r:id="rId8" w:history="1">
        <w:r w:rsidRPr="00DC2EED">
          <w:rPr>
            <w:rFonts w:ascii="宋体" w:eastAsia="宋体" w:hAnsi="宋体" w:cs="宋体" w:hint="eastAsia"/>
            <w:color w:val="303030"/>
            <w:kern w:val="0"/>
            <w:sz w:val="18"/>
            <w:szCs w:val="18"/>
            <w:u w:val="single"/>
          </w:rPr>
          <w:t>小</w:t>
        </w:r>
      </w:hyperlink>
      <w:r w:rsidRPr="00DC2EED">
        <w:rPr>
          <w:rFonts w:ascii="宋体" w:eastAsia="宋体" w:hAnsi="宋体" w:cs="宋体" w:hint="eastAsia"/>
          <w:color w:val="4D4D4D"/>
          <w:kern w:val="0"/>
          <w:sz w:val="18"/>
          <w:szCs w:val="18"/>
        </w:rPr>
        <w:t>】</w:t>
      </w:r>
    </w:p>
    <w:p w14:paraId="5AF86A4A" w14:textId="77777777" w:rsidR="00DC2EED" w:rsidRPr="00DC2EED" w:rsidRDefault="00DC2EED" w:rsidP="00DC2EED">
      <w:pPr>
        <w:widowControl/>
        <w:shd w:val="clear" w:color="auto" w:fill="FFFFFF"/>
        <w:spacing w:line="450" w:lineRule="atLeast"/>
        <w:jc w:val="center"/>
        <w:rPr>
          <w:rFonts w:ascii="宋体" w:eastAsia="宋体" w:hAnsi="宋体" w:cs="宋体" w:hint="eastAsia"/>
          <w:color w:val="323232"/>
          <w:kern w:val="0"/>
          <w:szCs w:val="21"/>
        </w:rPr>
      </w:pPr>
      <w:proofErr w:type="gramStart"/>
      <w:r w:rsidRPr="00DC2EED">
        <w:rPr>
          <w:rFonts w:ascii="宋体" w:eastAsia="宋体" w:hAnsi="宋体" w:cs="宋体" w:hint="eastAsia"/>
          <w:color w:val="323232"/>
          <w:kern w:val="0"/>
          <w:szCs w:val="21"/>
        </w:rPr>
        <w:t>财建</w:t>
      </w:r>
      <w:proofErr w:type="gramEnd"/>
      <w:r w:rsidRPr="00DC2EED">
        <w:rPr>
          <w:rFonts w:ascii="宋体" w:eastAsia="宋体" w:hAnsi="宋体" w:cs="宋体" w:hint="eastAsia"/>
          <w:color w:val="323232"/>
          <w:kern w:val="0"/>
          <w:szCs w:val="21"/>
        </w:rPr>
        <w:t>﹝2015﹞134号</w:t>
      </w:r>
      <w:r w:rsidRPr="00DC2EED">
        <w:rPr>
          <w:rFonts w:ascii="宋体" w:eastAsia="宋体" w:hAnsi="宋体" w:cs="宋体" w:hint="eastAsia"/>
          <w:color w:val="323232"/>
          <w:kern w:val="0"/>
          <w:szCs w:val="21"/>
        </w:rPr>
        <w:br/>
        <w:t xml:space="preserve">　　</w:t>
      </w:r>
    </w:p>
    <w:p w14:paraId="07127D24" w14:textId="77777777" w:rsidR="00DC2EED" w:rsidRPr="00DC2EED" w:rsidRDefault="00DC2EED" w:rsidP="00DC2EED">
      <w:pPr>
        <w:widowControl/>
        <w:shd w:val="clear" w:color="auto" w:fill="FFFFFF"/>
        <w:spacing w:line="450" w:lineRule="atLeast"/>
        <w:jc w:val="left"/>
        <w:rPr>
          <w:rFonts w:ascii="宋体" w:eastAsia="宋体" w:hAnsi="宋体" w:cs="宋体" w:hint="eastAsia"/>
          <w:color w:val="323232"/>
          <w:kern w:val="0"/>
          <w:szCs w:val="21"/>
        </w:rPr>
      </w:pPr>
      <w:r w:rsidRPr="00DC2EED">
        <w:rPr>
          <w:rFonts w:ascii="宋体" w:eastAsia="宋体" w:hAnsi="宋体" w:cs="宋体" w:hint="eastAsia"/>
          <w:color w:val="323232"/>
          <w:kern w:val="0"/>
          <w:szCs w:val="21"/>
        </w:rPr>
        <w:t>各省、自治区、直辖市、计划单列市财政厅（局）、科技厅（局、科委）、工业和信息化主管部门、发展改革委：</w:t>
      </w:r>
      <w:r w:rsidRPr="00DC2EED">
        <w:rPr>
          <w:rFonts w:ascii="宋体" w:eastAsia="宋体" w:hAnsi="宋体" w:cs="宋体" w:hint="eastAsia"/>
          <w:color w:val="323232"/>
          <w:kern w:val="0"/>
          <w:szCs w:val="21"/>
        </w:rPr>
        <w:br/>
        <w:t xml:space="preserve">　　新能源汽车推广应用工作实施以来，销售数量快速增加，产业化步伐不断加快。为保持政策连续性，促进新能源汽车产业加快发展，按照《国务院办公厅关于加快新能源汽车推广应用的指导意见》（国办发〔2014〕35号）等文件要求，财政部、科技部、工业和信息化部、发展改革委（以下简称四部委）将在2016-2020年继续实施新能源汽车推广应用补助政策。现将有关事项通知如下： </w:t>
      </w:r>
      <w:r w:rsidRPr="00DC2EED">
        <w:rPr>
          <w:rFonts w:ascii="宋体" w:eastAsia="宋体" w:hAnsi="宋体" w:cs="宋体" w:hint="eastAsia"/>
          <w:color w:val="323232"/>
          <w:kern w:val="0"/>
          <w:szCs w:val="21"/>
        </w:rPr>
        <w:br/>
        <w:t xml:space="preserve">　　一、补助对象、产品和标准 </w:t>
      </w:r>
      <w:r w:rsidRPr="00DC2EED">
        <w:rPr>
          <w:rFonts w:ascii="宋体" w:eastAsia="宋体" w:hAnsi="宋体" w:cs="宋体" w:hint="eastAsia"/>
          <w:color w:val="323232"/>
          <w:kern w:val="0"/>
          <w:szCs w:val="21"/>
        </w:rPr>
        <w:br/>
        <w:t xml:space="preserve">　　四部委在全国范围内开展新能源汽车推广应用工作，中央财政对购买新能源汽车给予补助，实行普惠制。具体的补助对象、产品和标准是： </w:t>
      </w:r>
      <w:r w:rsidRPr="00DC2EED">
        <w:rPr>
          <w:rFonts w:ascii="宋体" w:eastAsia="宋体" w:hAnsi="宋体" w:cs="宋体" w:hint="eastAsia"/>
          <w:color w:val="323232"/>
          <w:kern w:val="0"/>
          <w:szCs w:val="21"/>
        </w:rPr>
        <w:br/>
        <w:t xml:space="preserve">　　（一）补助对象。补助对象是消费者。新能源汽车生产企业在销售新能源汽车产品时按照扣减补助后的价格与消费者进行结算，中央财政按程序将企业垫付的补助资金再拨付给生产企业。 </w:t>
      </w:r>
      <w:r w:rsidRPr="00DC2EED">
        <w:rPr>
          <w:rFonts w:ascii="宋体" w:eastAsia="宋体" w:hAnsi="宋体" w:cs="宋体" w:hint="eastAsia"/>
          <w:color w:val="323232"/>
          <w:kern w:val="0"/>
          <w:szCs w:val="21"/>
        </w:rPr>
        <w:br/>
        <w:t xml:space="preserve">　　（二）补助产品。中央财政补助的产品是纳入“新能源汽车推广应用工程推荐车型目录”（以下简称“推荐车型目录”）的纯电动汽车、插电式混合动力汽车和燃料电池汽车。 </w:t>
      </w:r>
      <w:r w:rsidRPr="00DC2EED">
        <w:rPr>
          <w:rFonts w:ascii="宋体" w:eastAsia="宋体" w:hAnsi="宋体" w:cs="宋体" w:hint="eastAsia"/>
          <w:color w:val="323232"/>
          <w:kern w:val="0"/>
          <w:szCs w:val="21"/>
        </w:rPr>
        <w:br/>
        <w:t xml:space="preserve">　　（三）补助标准。补助标准主要依据节能减排效果，并综合考虑生产成本、规模效应、技术进步等因素逐步退坡。2016年各类新能源汽车补助标准见附件1。2017－2020年除燃料电池汽车外其他车型补助标准适当退坡，其中：2017－2018年补助标准在2016年基础上下降20%，2019－2020年补助标准在2016年基础上下降40%。 </w:t>
      </w:r>
      <w:r w:rsidRPr="00DC2EED">
        <w:rPr>
          <w:rFonts w:ascii="宋体" w:eastAsia="宋体" w:hAnsi="宋体" w:cs="宋体" w:hint="eastAsia"/>
          <w:color w:val="323232"/>
          <w:kern w:val="0"/>
          <w:szCs w:val="21"/>
        </w:rPr>
        <w:br/>
        <w:t xml:space="preserve">　　二、对企业和产品的要求 </w:t>
      </w:r>
      <w:r w:rsidRPr="00DC2EED">
        <w:rPr>
          <w:rFonts w:ascii="宋体" w:eastAsia="宋体" w:hAnsi="宋体" w:cs="宋体" w:hint="eastAsia"/>
          <w:color w:val="323232"/>
          <w:kern w:val="0"/>
          <w:szCs w:val="21"/>
        </w:rPr>
        <w:br/>
        <w:t xml:space="preserve">　　新能源汽车生产企业应具备较强的研发、生产和推广能力，应向消费者提供良好的售后服务保障，免除消费者后顾之忧；纳入中央财政补助范围的新能源汽车产品应具备较好的技术性能和安全可靠性。基本条件是： </w:t>
      </w:r>
      <w:r w:rsidRPr="00DC2EED">
        <w:rPr>
          <w:rFonts w:ascii="宋体" w:eastAsia="宋体" w:hAnsi="宋体" w:cs="宋体" w:hint="eastAsia"/>
          <w:color w:val="323232"/>
          <w:kern w:val="0"/>
          <w:szCs w:val="21"/>
        </w:rPr>
        <w:br/>
      </w:r>
      <w:r w:rsidRPr="00DC2EED">
        <w:rPr>
          <w:rFonts w:ascii="宋体" w:eastAsia="宋体" w:hAnsi="宋体" w:cs="宋体" w:hint="eastAsia"/>
          <w:color w:val="323232"/>
          <w:kern w:val="0"/>
          <w:szCs w:val="21"/>
        </w:rPr>
        <w:lastRenderedPageBreak/>
        <w:t xml:space="preserve">　　（一）产品性能稳定并安全可靠。纳入中央财政补助范围的新能源汽车产品应符合新能源汽车纯电动续驶里程等技术要求，应通过新能源汽车专项检测、符合新能源汽车相关标准。其中，插电式混合动力汽车还需符合相关综合燃料消耗量要求。纳入中央财政补助范围的新能源汽车产品技术要求见附件2。 </w:t>
      </w:r>
      <w:r w:rsidRPr="00DC2EED">
        <w:rPr>
          <w:rFonts w:ascii="宋体" w:eastAsia="宋体" w:hAnsi="宋体" w:cs="宋体" w:hint="eastAsia"/>
          <w:color w:val="323232"/>
          <w:kern w:val="0"/>
          <w:szCs w:val="21"/>
        </w:rPr>
        <w:br/>
        <w:t xml:space="preserve">　　（二）售后服务及应急保障完备。新能源汽车生产企业要建立新能源汽车产品质量安全责任制，完善售后服务及应急保障体系，在新能源汽车产品销售地区建立售后服务网点，及时解决新能源汽车技术故障。 </w:t>
      </w:r>
      <w:r w:rsidRPr="00DC2EED">
        <w:rPr>
          <w:rFonts w:ascii="宋体" w:eastAsia="宋体" w:hAnsi="宋体" w:cs="宋体" w:hint="eastAsia"/>
          <w:color w:val="323232"/>
          <w:kern w:val="0"/>
          <w:szCs w:val="21"/>
        </w:rPr>
        <w:br/>
        <w:t xml:space="preserve">　　（三）加强关键零部件质量保证。新能源汽车生产企业应对消费者提供动力电池等储能装置、驱动电机、电机控制器质量保证，其中乘用车生产企业应提供不低于8年或12万公里（以先到者为准，下同）的质保期限，商用车生产企业（含客车、专用车、货车等）应提供不低于5年或20万公里的质保期限。汽车生产企业及动力电池生产企业应承担动力电池回收利用的主体责任。 </w:t>
      </w:r>
      <w:r w:rsidRPr="00DC2EED">
        <w:rPr>
          <w:rFonts w:ascii="宋体" w:eastAsia="宋体" w:hAnsi="宋体" w:cs="宋体" w:hint="eastAsia"/>
          <w:color w:val="323232"/>
          <w:kern w:val="0"/>
          <w:szCs w:val="21"/>
        </w:rPr>
        <w:br/>
        <w:t xml:space="preserve">　　（四）确保与《车辆生产企业及产品公告》保持一致。新能源汽车生产企业应及时向社会公开车辆基本性能信息，并保证所销售的新能源汽车与《车辆生产企业及产品公告》（以下简称《公告》）及“推荐车型目录”内产品一致。 </w:t>
      </w:r>
      <w:r w:rsidRPr="00DC2EED">
        <w:rPr>
          <w:rFonts w:ascii="宋体" w:eastAsia="宋体" w:hAnsi="宋体" w:cs="宋体" w:hint="eastAsia"/>
          <w:color w:val="323232"/>
          <w:kern w:val="0"/>
          <w:szCs w:val="21"/>
        </w:rPr>
        <w:br/>
        <w:t xml:space="preserve">　　三、资金申报和下达 </w:t>
      </w:r>
      <w:r w:rsidRPr="00DC2EED">
        <w:rPr>
          <w:rFonts w:ascii="宋体" w:eastAsia="宋体" w:hAnsi="宋体" w:cs="宋体" w:hint="eastAsia"/>
          <w:color w:val="323232"/>
          <w:kern w:val="0"/>
          <w:szCs w:val="21"/>
        </w:rPr>
        <w:br/>
        <w:t xml:space="preserve">　　（一）年初预拨补助资金。每年2月底前，生产企业将本年度新能源汽车预计销售情况通过企业注册所在地财政、科技、工信、</w:t>
      </w:r>
      <w:proofErr w:type="gramStart"/>
      <w:r w:rsidRPr="00DC2EED">
        <w:rPr>
          <w:rFonts w:ascii="宋体" w:eastAsia="宋体" w:hAnsi="宋体" w:cs="宋体" w:hint="eastAsia"/>
          <w:color w:val="323232"/>
          <w:kern w:val="0"/>
          <w:szCs w:val="21"/>
        </w:rPr>
        <w:t>发改部门</w:t>
      </w:r>
      <w:proofErr w:type="gramEnd"/>
      <w:r w:rsidRPr="00DC2EED">
        <w:rPr>
          <w:rFonts w:ascii="宋体" w:eastAsia="宋体" w:hAnsi="宋体" w:cs="宋体" w:hint="eastAsia"/>
          <w:color w:val="323232"/>
          <w:kern w:val="0"/>
          <w:szCs w:val="21"/>
        </w:rPr>
        <w:t>（以下简称四部门）申报，由四部门负责审核并于3月底前逐级上报至四部委。四部委组织审核后按照一定比例预拨补助资金。 </w:t>
      </w:r>
      <w:r w:rsidRPr="00DC2EED">
        <w:rPr>
          <w:rFonts w:ascii="宋体" w:eastAsia="宋体" w:hAnsi="宋体" w:cs="宋体" w:hint="eastAsia"/>
          <w:color w:val="323232"/>
          <w:kern w:val="0"/>
          <w:szCs w:val="21"/>
        </w:rPr>
        <w:br/>
        <w:t xml:space="preserve">　　（二）年度终了后进行资金清算。年度终了后，2月底前，生产企业提交上年度的清算报告及产品销售、运行情况，包括销售发票、产品技术参数和车辆注册登记信息等，按照上述渠道于3月底前逐级上报至四部委。四部委组织审核并对补助资金进行清算。 </w:t>
      </w:r>
      <w:r w:rsidRPr="00DC2EED">
        <w:rPr>
          <w:rFonts w:ascii="宋体" w:eastAsia="宋体" w:hAnsi="宋体" w:cs="宋体" w:hint="eastAsia"/>
          <w:color w:val="323232"/>
          <w:kern w:val="0"/>
          <w:szCs w:val="21"/>
        </w:rPr>
        <w:br/>
        <w:t xml:space="preserve">　　四、工作要求 </w:t>
      </w:r>
      <w:r w:rsidRPr="00DC2EED">
        <w:rPr>
          <w:rFonts w:ascii="宋体" w:eastAsia="宋体" w:hAnsi="宋体" w:cs="宋体" w:hint="eastAsia"/>
          <w:color w:val="323232"/>
          <w:kern w:val="0"/>
          <w:szCs w:val="21"/>
        </w:rPr>
        <w:br/>
        <w:t xml:space="preserve">　　各地要科学制定地方性扶持政策，进一步加大环卫、公交等公益性行业新能源汽车推广支持力度，和中央财政支持政策形成互补和合力，加快完善新能源汽车应用环境。四部委将加强对新能源汽车推广情况的监督、核查。有下列情形之一的，四部委将视情节给予通报批评、扣减补助资金、取消新能源汽车补助资格、暂停或剔除“推荐车型目录”中有关产品等处罚措施： </w:t>
      </w:r>
      <w:r w:rsidRPr="00DC2EED">
        <w:rPr>
          <w:rFonts w:ascii="宋体" w:eastAsia="宋体" w:hAnsi="宋体" w:cs="宋体" w:hint="eastAsia"/>
          <w:color w:val="323232"/>
          <w:kern w:val="0"/>
          <w:szCs w:val="21"/>
        </w:rPr>
        <w:br/>
        <w:t xml:space="preserve">　　（一）提供虚假技术参数，骗取产品补助资格的； </w:t>
      </w:r>
      <w:r w:rsidRPr="00DC2EED">
        <w:rPr>
          <w:rFonts w:ascii="宋体" w:eastAsia="宋体" w:hAnsi="宋体" w:cs="宋体" w:hint="eastAsia"/>
          <w:color w:val="323232"/>
          <w:kern w:val="0"/>
          <w:szCs w:val="21"/>
        </w:rPr>
        <w:br/>
        <w:t xml:space="preserve">　　（二）提供虚假推广信息，骗取财政补助资金的； </w:t>
      </w:r>
      <w:r w:rsidRPr="00DC2EED">
        <w:rPr>
          <w:rFonts w:ascii="宋体" w:eastAsia="宋体" w:hAnsi="宋体" w:cs="宋体" w:hint="eastAsia"/>
          <w:color w:val="323232"/>
          <w:kern w:val="0"/>
          <w:szCs w:val="21"/>
        </w:rPr>
        <w:br/>
      </w:r>
      <w:r w:rsidRPr="00DC2EED">
        <w:rPr>
          <w:rFonts w:ascii="宋体" w:eastAsia="宋体" w:hAnsi="宋体" w:cs="宋体" w:hint="eastAsia"/>
          <w:color w:val="323232"/>
          <w:kern w:val="0"/>
          <w:szCs w:val="21"/>
        </w:rPr>
        <w:lastRenderedPageBreak/>
        <w:t xml:space="preserve">　　（三）销售产品的关键零部件型号、电池容量、技术参数等与《公告》产品不一致的。 </w:t>
      </w:r>
      <w:r w:rsidRPr="00DC2EED">
        <w:rPr>
          <w:rFonts w:ascii="宋体" w:eastAsia="宋体" w:hAnsi="宋体" w:cs="宋体" w:hint="eastAsia"/>
          <w:color w:val="323232"/>
          <w:kern w:val="0"/>
          <w:szCs w:val="21"/>
        </w:rPr>
        <w:br/>
        <w:t xml:space="preserve">　　五、实施期限及其他 </w:t>
      </w:r>
      <w:r w:rsidRPr="00DC2EED">
        <w:rPr>
          <w:rFonts w:ascii="宋体" w:eastAsia="宋体" w:hAnsi="宋体" w:cs="宋体" w:hint="eastAsia"/>
          <w:color w:val="323232"/>
          <w:kern w:val="0"/>
          <w:szCs w:val="21"/>
        </w:rPr>
        <w:br/>
        <w:t xml:space="preserve">　　本政策实施期限是2016-2020年，四部委将根据技术进步、产业发展、推广应用规模、成本变化等因素适时调整补助政策。 </w:t>
      </w:r>
      <w:r w:rsidRPr="00DC2EED">
        <w:rPr>
          <w:rFonts w:ascii="宋体" w:eastAsia="宋体" w:hAnsi="宋体" w:cs="宋体" w:hint="eastAsia"/>
          <w:color w:val="323232"/>
          <w:kern w:val="0"/>
          <w:szCs w:val="21"/>
        </w:rPr>
        <w:br/>
        <w:t xml:space="preserve">　　对地方政府的新能源汽车推广要求和考核奖励政策将另行研究制定。 </w:t>
      </w:r>
      <w:r w:rsidRPr="00DC2EED">
        <w:rPr>
          <w:rFonts w:ascii="宋体" w:eastAsia="宋体" w:hAnsi="宋体" w:cs="宋体" w:hint="eastAsia"/>
          <w:color w:val="323232"/>
          <w:kern w:val="0"/>
          <w:szCs w:val="21"/>
        </w:rPr>
        <w:br/>
        <w:t xml:space="preserve">　　附件：1. 2016年新能源汽车推广应用补助标准</w:t>
      </w:r>
      <w:r w:rsidRPr="00DC2EED">
        <w:rPr>
          <w:rFonts w:ascii="宋体" w:eastAsia="宋体" w:hAnsi="宋体" w:cs="宋体" w:hint="eastAsia"/>
          <w:color w:val="323232"/>
          <w:kern w:val="0"/>
          <w:szCs w:val="21"/>
        </w:rPr>
        <w:br/>
        <w:t xml:space="preserve">　　            2. 纳入中央财政补助范围的新能源汽车产品技术要求</w:t>
      </w:r>
      <w:r w:rsidRPr="00DC2EED">
        <w:rPr>
          <w:rFonts w:ascii="宋体" w:eastAsia="宋体" w:hAnsi="宋体" w:cs="宋体" w:hint="eastAsia"/>
          <w:color w:val="323232"/>
          <w:kern w:val="0"/>
          <w:szCs w:val="21"/>
        </w:rPr>
        <w:br/>
        <w:t xml:space="preserve">　　            3. 单位</w:t>
      </w:r>
      <w:proofErr w:type="gramStart"/>
      <w:r w:rsidRPr="00DC2EED">
        <w:rPr>
          <w:rFonts w:ascii="宋体" w:eastAsia="宋体" w:hAnsi="宋体" w:cs="宋体" w:hint="eastAsia"/>
          <w:color w:val="323232"/>
          <w:kern w:val="0"/>
          <w:szCs w:val="21"/>
        </w:rPr>
        <w:t>载质量能量消耗量评价</w:t>
      </w:r>
      <w:proofErr w:type="gramEnd"/>
      <w:r w:rsidRPr="00DC2EED">
        <w:rPr>
          <w:rFonts w:ascii="宋体" w:eastAsia="宋体" w:hAnsi="宋体" w:cs="宋体" w:hint="eastAsia"/>
          <w:color w:val="323232"/>
          <w:kern w:val="0"/>
          <w:szCs w:val="21"/>
        </w:rPr>
        <w:t>指标说明</w:t>
      </w:r>
      <w:r w:rsidRPr="00DC2EED">
        <w:rPr>
          <w:rFonts w:ascii="宋体" w:eastAsia="宋体" w:hAnsi="宋体" w:cs="宋体" w:hint="eastAsia"/>
          <w:color w:val="323232"/>
          <w:kern w:val="0"/>
          <w:szCs w:val="21"/>
        </w:rPr>
        <w:br/>
        <w:t xml:space="preserve">　　</w:t>
      </w:r>
    </w:p>
    <w:p w14:paraId="6B5782E6" w14:textId="77777777" w:rsidR="00DC2EED" w:rsidRPr="00DC2EED" w:rsidRDefault="00DC2EED" w:rsidP="00DC2EED">
      <w:pPr>
        <w:widowControl/>
        <w:shd w:val="clear" w:color="auto" w:fill="FFFFFF"/>
        <w:spacing w:line="450" w:lineRule="atLeast"/>
        <w:jc w:val="center"/>
        <w:rPr>
          <w:rFonts w:ascii="宋体" w:eastAsia="宋体" w:hAnsi="宋体" w:cs="宋体" w:hint="eastAsia"/>
          <w:color w:val="323232"/>
          <w:kern w:val="0"/>
          <w:szCs w:val="21"/>
        </w:rPr>
      </w:pPr>
      <w:r w:rsidRPr="00DC2EED">
        <w:rPr>
          <w:rFonts w:ascii="宋体" w:eastAsia="宋体" w:hAnsi="宋体" w:cs="宋体" w:hint="eastAsia"/>
          <w:color w:val="323232"/>
          <w:kern w:val="0"/>
          <w:szCs w:val="21"/>
        </w:rPr>
        <w:t>财政部 科技部 工业和信息化部 发展改革委 </w:t>
      </w:r>
      <w:r w:rsidRPr="00DC2EED">
        <w:rPr>
          <w:rFonts w:ascii="宋体" w:eastAsia="宋体" w:hAnsi="宋体" w:cs="宋体" w:hint="eastAsia"/>
          <w:color w:val="323232"/>
          <w:kern w:val="0"/>
          <w:szCs w:val="21"/>
        </w:rPr>
        <w:br/>
        <w:t>2015年 4 月 22 日 </w:t>
      </w:r>
    </w:p>
    <w:p w14:paraId="3EB936BD" w14:textId="77777777" w:rsidR="00AC4853" w:rsidRPr="00DC2EED" w:rsidRDefault="00AC4853"/>
    <w:sectPr w:rsidR="00AC4853" w:rsidRPr="00DC2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B1B31" w14:textId="77777777" w:rsidR="00957273" w:rsidRDefault="00957273" w:rsidP="00DC2EED">
      <w:r>
        <w:separator/>
      </w:r>
    </w:p>
  </w:endnote>
  <w:endnote w:type="continuationSeparator" w:id="0">
    <w:p w14:paraId="5B0A3BCF" w14:textId="77777777" w:rsidR="00957273" w:rsidRDefault="00957273" w:rsidP="00DC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3BD18" w14:textId="77777777" w:rsidR="00957273" w:rsidRDefault="00957273" w:rsidP="00DC2EED">
      <w:r>
        <w:separator/>
      </w:r>
    </w:p>
  </w:footnote>
  <w:footnote w:type="continuationSeparator" w:id="0">
    <w:p w14:paraId="62AFED96" w14:textId="77777777" w:rsidR="00957273" w:rsidRDefault="00957273" w:rsidP="00DC2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05"/>
    <w:rsid w:val="00745B05"/>
    <w:rsid w:val="00957273"/>
    <w:rsid w:val="00AC4853"/>
    <w:rsid w:val="00DC2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63D0F7-22A6-4447-956E-E47EC65E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E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EED"/>
    <w:rPr>
      <w:sz w:val="18"/>
      <w:szCs w:val="18"/>
    </w:rPr>
  </w:style>
  <w:style w:type="paragraph" w:styleId="a5">
    <w:name w:val="footer"/>
    <w:basedOn w:val="a"/>
    <w:link w:val="a6"/>
    <w:uiPriority w:val="99"/>
    <w:unhideWhenUsed/>
    <w:rsid w:val="00DC2EED"/>
    <w:pPr>
      <w:tabs>
        <w:tab w:val="center" w:pos="4153"/>
        <w:tab w:val="right" w:pos="8306"/>
      </w:tabs>
      <w:snapToGrid w:val="0"/>
      <w:jc w:val="left"/>
    </w:pPr>
    <w:rPr>
      <w:sz w:val="18"/>
      <w:szCs w:val="18"/>
    </w:rPr>
  </w:style>
  <w:style w:type="character" w:customStyle="1" w:styleId="a6">
    <w:name w:val="页脚 字符"/>
    <w:basedOn w:val="a0"/>
    <w:link w:val="a5"/>
    <w:uiPriority w:val="99"/>
    <w:rsid w:val="00DC2E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40152">
      <w:bodyDiv w:val="1"/>
      <w:marLeft w:val="0"/>
      <w:marRight w:val="0"/>
      <w:marTop w:val="0"/>
      <w:marBottom w:val="0"/>
      <w:divBdr>
        <w:top w:val="none" w:sz="0" w:space="0" w:color="auto"/>
        <w:left w:val="none" w:sz="0" w:space="0" w:color="auto"/>
        <w:bottom w:val="none" w:sz="0" w:space="0" w:color="auto"/>
        <w:right w:val="none" w:sz="0" w:space="0" w:color="auto"/>
      </w:divBdr>
      <w:divsChild>
        <w:div w:id="459806979">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NewscontSize(12)" TargetMode="External"/><Relationship Id="rId3" Type="http://schemas.openxmlformats.org/officeDocument/2006/relationships/webSettings" Target="webSettings.xml"/><Relationship Id="rId7" Type="http://schemas.openxmlformats.org/officeDocument/2006/relationships/hyperlink" Target="javascript:doNewscontSize(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NewscontSize(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2018-12-18T02:38:00Z</dcterms:created>
  <dcterms:modified xsi:type="dcterms:W3CDTF">2018-12-18T02:38:00Z</dcterms:modified>
</cp:coreProperties>
</file>