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86C" w:rsidRPr="006A386C" w:rsidRDefault="006A386C" w:rsidP="006A386C">
      <w:pPr>
        <w:widowControl/>
        <w:spacing w:line="600" w:lineRule="atLeast"/>
        <w:jc w:val="left"/>
        <w:outlineLvl w:val="0"/>
        <w:rPr>
          <w:rFonts w:ascii="微软雅黑" w:eastAsia="微软雅黑" w:hAnsi="微软雅黑" w:cs="宋体"/>
          <w:b/>
          <w:bCs/>
          <w:color w:val="333333"/>
          <w:kern w:val="36"/>
          <w:sz w:val="36"/>
          <w:szCs w:val="36"/>
        </w:rPr>
      </w:pPr>
      <w:bookmarkStart w:id="0" w:name="_GoBack"/>
      <w:r w:rsidRPr="006A386C">
        <w:rPr>
          <w:rFonts w:ascii="微软雅黑" w:eastAsia="微软雅黑" w:hAnsi="微软雅黑" w:cs="宋体" w:hint="eastAsia"/>
          <w:b/>
          <w:bCs/>
          <w:color w:val="333333"/>
          <w:kern w:val="36"/>
          <w:sz w:val="36"/>
          <w:szCs w:val="36"/>
        </w:rPr>
        <w:t>咸宁市关于进一步鼓励外来投资若干政策的意见</w:t>
      </w:r>
    </w:p>
    <w:bookmarkEnd w:id="0"/>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w:t>
      </w:r>
      <w:hyperlink r:id="rId4" w:tgtFrame="_blank" w:history="1">
        <w:r w:rsidRPr="006A386C">
          <w:rPr>
            <w:rFonts w:ascii="微软雅黑" w:eastAsia="微软雅黑" w:hAnsi="微软雅黑" w:cs="宋体" w:hint="eastAsia"/>
            <w:color w:val="CC0000"/>
            <w:kern w:val="0"/>
            <w:sz w:val="24"/>
            <w:szCs w:val="24"/>
          </w:rPr>
          <w:t>咸宁</w:t>
        </w:r>
      </w:hyperlink>
      <w:r w:rsidRPr="006A386C">
        <w:rPr>
          <w:rFonts w:ascii="微软雅黑" w:eastAsia="微软雅黑" w:hAnsi="微软雅黑" w:cs="宋体" w:hint="eastAsia"/>
          <w:color w:val="444444"/>
          <w:kern w:val="0"/>
          <w:sz w:val="24"/>
          <w:szCs w:val="24"/>
        </w:rPr>
        <w:t>市各县、市、区人民政府、市政府各部门：</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为了适应我国即将加入世界贸易组织和国家实施西部大开发战略的新形势，不断改善</w:t>
      </w:r>
      <w:hyperlink r:id="rId5" w:tgtFrame="_blank" w:history="1">
        <w:r w:rsidRPr="006A386C">
          <w:rPr>
            <w:rFonts w:ascii="微软雅黑" w:eastAsia="微软雅黑" w:hAnsi="微软雅黑" w:cs="宋体" w:hint="eastAsia"/>
            <w:color w:val="CC0000"/>
            <w:kern w:val="0"/>
            <w:sz w:val="24"/>
            <w:szCs w:val="24"/>
          </w:rPr>
          <w:t>投资</w:t>
        </w:r>
      </w:hyperlink>
      <w:r w:rsidRPr="006A386C">
        <w:rPr>
          <w:rFonts w:ascii="微软雅黑" w:eastAsia="微软雅黑" w:hAnsi="微软雅黑" w:cs="宋体" w:hint="eastAsia"/>
          <w:color w:val="444444"/>
          <w:kern w:val="0"/>
          <w:sz w:val="24"/>
          <w:szCs w:val="24"/>
        </w:rPr>
        <w:t>环境，吸收更多的</w:t>
      </w:r>
      <w:hyperlink r:id="rId6" w:tgtFrame="_blank" w:history="1">
        <w:r w:rsidRPr="006A386C">
          <w:rPr>
            <w:rFonts w:ascii="微软雅黑" w:eastAsia="微软雅黑" w:hAnsi="微软雅黑" w:cs="宋体" w:hint="eastAsia"/>
            <w:color w:val="CC0000"/>
            <w:kern w:val="0"/>
            <w:sz w:val="24"/>
            <w:szCs w:val="24"/>
          </w:rPr>
          <w:t>投资</w:t>
        </w:r>
      </w:hyperlink>
      <w:r w:rsidRPr="006A386C">
        <w:rPr>
          <w:rFonts w:ascii="微软雅黑" w:eastAsia="微软雅黑" w:hAnsi="微软雅黑" w:cs="宋体" w:hint="eastAsia"/>
          <w:color w:val="444444"/>
          <w:kern w:val="0"/>
          <w:sz w:val="24"/>
          <w:szCs w:val="24"/>
        </w:rPr>
        <w:t>者到我市投资兴办企业，促进我市经济发展，根据国务院和省政府颁布的有关政策，结合我市实际，经市政府研究，现就进一步鼓励外来投资的若干政策提出如下意见：</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一、鼓励境内外个人、企业和其他经济组织特别是大企业(集团)、上市公司、</w:t>
      </w:r>
      <w:hyperlink r:id="rId7" w:tgtFrame="_blank" w:history="1">
        <w:r w:rsidRPr="006A386C">
          <w:rPr>
            <w:rFonts w:ascii="微软雅黑" w:eastAsia="微软雅黑" w:hAnsi="微软雅黑" w:cs="宋体" w:hint="eastAsia"/>
            <w:color w:val="CC0000"/>
            <w:kern w:val="0"/>
            <w:sz w:val="24"/>
            <w:szCs w:val="24"/>
          </w:rPr>
          <w:t>高新技术</w:t>
        </w:r>
      </w:hyperlink>
      <w:r w:rsidRPr="006A386C">
        <w:rPr>
          <w:rFonts w:ascii="微软雅黑" w:eastAsia="微软雅黑" w:hAnsi="微软雅黑" w:cs="宋体" w:hint="eastAsia"/>
          <w:color w:val="444444"/>
          <w:kern w:val="0"/>
          <w:sz w:val="24"/>
          <w:szCs w:val="24"/>
        </w:rPr>
        <w:t>企业(以下统称外来投资者)来我市投资，注册设立独资、合资和合作企业，参与本市企业改革、改组、改造，从事</w:t>
      </w:r>
      <w:hyperlink r:id="rId8" w:tgtFrame="_blank" w:history="1">
        <w:r w:rsidRPr="006A386C">
          <w:rPr>
            <w:rFonts w:ascii="微软雅黑" w:eastAsia="微软雅黑" w:hAnsi="微软雅黑" w:cs="宋体" w:hint="eastAsia"/>
            <w:color w:val="CC0000"/>
            <w:kern w:val="0"/>
            <w:sz w:val="24"/>
            <w:szCs w:val="24"/>
          </w:rPr>
          <w:t>高新技术</w:t>
        </w:r>
      </w:hyperlink>
      <w:r w:rsidRPr="006A386C">
        <w:rPr>
          <w:rFonts w:ascii="微软雅黑" w:eastAsia="微软雅黑" w:hAnsi="微软雅黑" w:cs="宋体" w:hint="eastAsia"/>
          <w:color w:val="444444"/>
          <w:kern w:val="0"/>
          <w:sz w:val="24"/>
          <w:szCs w:val="24"/>
        </w:rPr>
        <w:t>研究、开发和产业化，从事有利于本市经济可持续发展的各个产业。</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二、成立“咸宁市外来投资企业联合办公中心”，该中心直接隶属市</w:t>
      </w:r>
      <w:hyperlink r:id="rId9" w:tgtFrame="_blank" w:history="1">
        <w:r w:rsidRPr="006A386C">
          <w:rPr>
            <w:rFonts w:ascii="微软雅黑" w:eastAsia="微软雅黑" w:hAnsi="微软雅黑" w:cs="宋体" w:hint="eastAsia"/>
            <w:color w:val="CC0000"/>
            <w:kern w:val="0"/>
            <w:sz w:val="24"/>
            <w:szCs w:val="24"/>
          </w:rPr>
          <w:t>招商引资</w:t>
        </w:r>
      </w:hyperlink>
      <w:r w:rsidRPr="006A386C">
        <w:rPr>
          <w:rFonts w:ascii="微软雅黑" w:eastAsia="微软雅黑" w:hAnsi="微软雅黑" w:cs="宋体" w:hint="eastAsia"/>
          <w:color w:val="444444"/>
          <w:kern w:val="0"/>
          <w:sz w:val="24"/>
          <w:szCs w:val="24"/>
        </w:rPr>
        <w:t>工作领导小组，其工作人员由领导小组各成员单位派驻，并定时在中心上班。该中心实行“一室式”办公、一条龙服务、一站式处理，即投资项目的所有手续均由中心全面代办，并在一栋房子内全部办毕。影响企业生产经营的经济环境问题由中心负责调处，各种评比、验收以及各项收费性检查由该中心审定。本《意见》中各项奖励的申报、审核、报批手续由中心负责办理。市外来投资企业联合办公中心具体工作办法另定。各县、市、区可相应成立“联合办公中心”，负责本行政区域内的有关工作。</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三、外来投资者在我市兴办企业，办理各类手续只收取证照工本费。企业正式投产后的各项规费实施“免一减二”：即正式投产后第一年度内免交全部行政事业性收费，第二、三年度减半收取，从第四年起按规定下限收取。</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lastRenderedPageBreak/>
        <w:t xml:space="preserve">　　四、对发展高新科技、高附加值、产品出口型企业和</w:t>
      </w:r>
      <w:hyperlink r:id="rId10" w:tgtFrame="_blank" w:history="1">
        <w:r w:rsidRPr="006A386C">
          <w:rPr>
            <w:rFonts w:ascii="微软雅黑" w:eastAsia="微软雅黑" w:hAnsi="微软雅黑" w:cs="宋体" w:hint="eastAsia"/>
            <w:color w:val="CC0000"/>
            <w:kern w:val="0"/>
            <w:sz w:val="24"/>
            <w:szCs w:val="24"/>
          </w:rPr>
          <w:t>旅游</w:t>
        </w:r>
      </w:hyperlink>
      <w:r w:rsidRPr="006A386C">
        <w:rPr>
          <w:rFonts w:ascii="微软雅黑" w:eastAsia="微软雅黑" w:hAnsi="微软雅黑" w:cs="宋体" w:hint="eastAsia"/>
          <w:color w:val="444444"/>
          <w:kern w:val="0"/>
          <w:sz w:val="24"/>
          <w:szCs w:val="24"/>
        </w:rPr>
        <w:t>开发、</w:t>
      </w:r>
      <w:hyperlink r:id="rId11" w:tgtFrame="_blank" w:history="1">
        <w:r w:rsidRPr="006A386C">
          <w:rPr>
            <w:rFonts w:ascii="微软雅黑" w:eastAsia="微软雅黑" w:hAnsi="微软雅黑" w:cs="宋体" w:hint="eastAsia"/>
            <w:color w:val="CC0000"/>
            <w:kern w:val="0"/>
            <w:sz w:val="24"/>
            <w:szCs w:val="24"/>
          </w:rPr>
          <w:t>农业</w:t>
        </w:r>
      </w:hyperlink>
      <w:r w:rsidRPr="006A386C">
        <w:rPr>
          <w:rFonts w:ascii="微软雅黑" w:eastAsia="微软雅黑" w:hAnsi="微软雅黑" w:cs="宋体" w:hint="eastAsia"/>
          <w:color w:val="444444"/>
          <w:kern w:val="0"/>
          <w:sz w:val="24"/>
          <w:szCs w:val="24"/>
        </w:rPr>
        <w:t>开发，上述减半期限还可增加一年，达到“免一减三”，从第五年度起按规定下限收取。</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五、对高新技术型企业，其生产和科研设备可采取加速折旧的办法，年综合折旧率在国家规定的基础上再提高30%。</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六、对收购、兼并国有、集体企业的，国有资产经国资管理部门审核，其交易价格可低于评估值。原企业的用水、用电容量可保留或带入相关新企业，免收过户费。原企业职工继续聘用的，劳动从事部门免收管理费。</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七、外来投资者在温泉经济技术开发区工业园内投资兴办符合国家产业政策的生产性企业，无偿提供土地。</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八、外来投资者在我市兴办高新技术型、高附加值和产品出口型企业，其生产性用地价格在本市公布的综合地价基础上优惠50%，其他类型企业优惠30%。</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九、投资者租用场地的，其场地使用费或土地使用费，从获得土地使用权之日起五年内免缴，从第六年开始按规定标准的20%缴纳。</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十、外来投资者所属管理人员及其家属可在我市落户，办理《暂住证》，只收工本费。其子女入托、入学、升学、招工、招干享受本市居民同等待遇。住满两年的，可免费转为本市非农业户口。持有暂住证一年以上的，因贸易往来、技术合作、学习考察等业务需要出国(境)的，可由本市有关部门按规定及时审批办理出国(境)手续。</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lastRenderedPageBreak/>
        <w:t xml:space="preserve">　　十一、外来投资者从市外引进大学本科以上学历的各类专业人才，引进方式可以调动、兼职，也可以短期工作，实行“一证通”的管理办法和全员人事代理服务，愿意入户本市的，由本市有关部门免费为其办理常住户口手续。</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十二、外来投资者所属专业技术人员，可向本市人事部门申请评审中、高级专业技术职称，符合任职条件，可破格晋升职称，可低职高聘。职工可参力口本市组织的种类技术</w:t>
      </w:r>
      <w:hyperlink r:id="rId12" w:tgtFrame="_blank" w:history="1">
        <w:r w:rsidRPr="006A386C">
          <w:rPr>
            <w:rFonts w:ascii="微软雅黑" w:eastAsia="微软雅黑" w:hAnsi="微软雅黑" w:cs="宋体" w:hint="eastAsia"/>
            <w:color w:val="CC0000"/>
            <w:kern w:val="0"/>
            <w:sz w:val="24"/>
            <w:szCs w:val="24"/>
          </w:rPr>
          <w:t>培训</w:t>
        </w:r>
      </w:hyperlink>
      <w:r w:rsidRPr="006A386C">
        <w:rPr>
          <w:rFonts w:ascii="微软雅黑" w:eastAsia="微软雅黑" w:hAnsi="微软雅黑" w:cs="宋体" w:hint="eastAsia"/>
          <w:color w:val="444444"/>
          <w:kern w:val="0"/>
          <w:sz w:val="24"/>
          <w:szCs w:val="24"/>
        </w:rPr>
        <w:t>和技能鉴定，并向本市劳动和社会保障部门申请技术等级证书和技师职称的评定。</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十三、凡因来我市工作而辞去公职的外地专业技术人员，经考核确认，要免费重新办理录用手续，恢复原干部身份、技术职务、工资标准，工龄连续计算，并免费办理本市常住户口手续。具体引进各类人才的优惠政策，可按咸政发[2000]8号文执行。</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十四、外来投资者按本市有关规定，可为其职工办理《劳动手册》、</w:t>
      </w:r>
      <w:hyperlink r:id="rId13" w:tgtFrame="_blank" w:history="1">
        <w:r w:rsidRPr="006A386C">
          <w:rPr>
            <w:rFonts w:ascii="微软雅黑" w:eastAsia="微软雅黑" w:hAnsi="微软雅黑" w:cs="宋体" w:hint="eastAsia"/>
            <w:color w:val="CC0000"/>
            <w:kern w:val="0"/>
            <w:sz w:val="24"/>
            <w:szCs w:val="24"/>
          </w:rPr>
          <w:t>养老</w:t>
        </w:r>
      </w:hyperlink>
      <w:r w:rsidRPr="006A386C">
        <w:rPr>
          <w:rFonts w:ascii="微软雅黑" w:eastAsia="微软雅黑" w:hAnsi="微软雅黑" w:cs="宋体" w:hint="eastAsia"/>
          <w:color w:val="444444"/>
          <w:kern w:val="0"/>
          <w:sz w:val="24"/>
          <w:szCs w:val="24"/>
        </w:rPr>
        <w:t>保险、失业保险、医疗保险和缴存住房公积金，持有市户口或其他有效证件的职工，在本市缴存住房公积金一年后，可按规定申请个人住房公积金贷款购房。</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十五、外来投资者在股份制改造、债券发行、股票上市、经营资质评审;享受特殊的国家产业开发补贴、产品鉴定、评优参展、项目招投标、申办自营进出口权、出口退税和在境外设立分支机构等方面与本市企业享受同等待遇。</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十六、严禁以各种名义向投资者乱收费、乱摊派、乱罚款。由外来投资企业联合办公中心会同物价部门向投资者统一发放《企业交费登记簿》。行政事业单位向企业收费时，必须出示国务院或</w:t>
      </w:r>
      <w:hyperlink r:id="rId14" w:tgtFrame="_blank" w:history="1">
        <w:r w:rsidRPr="006A386C">
          <w:rPr>
            <w:rFonts w:ascii="微软雅黑" w:eastAsia="微软雅黑" w:hAnsi="微软雅黑" w:cs="宋体" w:hint="eastAsia"/>
            <w:color w:val="CC0000"/>
            <w:kern w:val="0"/>
            <w:sz w:val="24"/>
            <w:szCs w:val="24"/>
          </w:rPr>
          <w:t>湖北</w:t>
        </w:r>
      </w:hyperlink>
      <w:r w:rsidRPr="006A386C">
        <w:rPr>
          <w:rFonts w:ascii="微软雅黑" w:eastAsia="微软雅黑" w:hAnsi="微软雅黑" w:cs="宋体" w:hint="eastAsia"/>
          <w:color w:val="444444"/>
          <w:kern w:val="0"/>
          <w:sz w:val="24"/>
          <w:szCs w:val="24"/>
        </w:rPr>
        <w:t>省人民政府批准的有关文件和本</w:t>
      </w:r>
      <w:r w:rsidRPr="006A386C">
        <w:rPr>
          <w:rFonts w:ascii="微软雅黑" w:eastAsia="微软雅黑" w:hAnsi="微软雅黑" w:cs="宋体" w:hint="eastAsia"/>
          <w:color w:val="444444"/>
          <w:kern w:val="0"/>
          <w:sz w:val="24"/>
          <w:szCs w:val="24"/>
        </w:rPr>
        <w:lastRenderedPageBreak/>
        <w:t>市物价部门发放的收费许可证，并逐项据实填写《企业交费登记簿》，如不据实填写的，企业有权拒绝交费，并向外来投资企业联合办公中心举报。</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十七、建立外来投资企业生产发展基金，专项用于外来投资企业的贷款贴息、贷款担保、科技风险、技术进步项目拨款和专项补助。投资者在我市兴办的各类企业，自投产之日起三年内，按其实际上缴税收的本级所得总额的一定比例，年终一次性为其拨付生产发展基金：年上缴总额在10万元(含10万元)至30万元的，按20%拨付(指本级所得部分，下同);年上缴总额在30万元(含30万元)至50万元的，按30%拨付;年上缴总额在50万元(含50万元)至100万元的，按40%拨付;年上缴总额在100万元(含100万元)至500万元的，按50%拨付;年上缴总额500万元以上的企业、高新技术企业、高附加值和产品出口型企业在以上优惠等级的基础上生产发展基金拨付比例再提高10%。</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十八、向我市转让高新技术、专利技术、新工艺、新产品，或以技术成果入股创办高新技术企业，其入股技术作价金额占企业注册资本的比例最高允许达到49%。其技术成果使我市企业当年受益的，按受益额度由受益方一次性奖励技术拥有者，标准如下：其技术使该企业当年新增税额达到100万元的，奖励本市城区内100平方米三室二厅住房一套，愿意落户我市的，免费解决本市常住非农业户口;其技术使该企业新增税额达到200万元以上的，奖励本市占地150平方米的双层别墅一栋，普通国产轿车一辆。以上标准各地还可适当提高。</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lastRenderedPageBreak/>
        <w:t xml:space="preserve">　　十九、本市出台的其它有关鼓励投资的政策与本《意见》不相符的，照本《意见》执行。本《意见》具体执行中的有关问题由咸宁市外来投资企业联合办公中心负责解释。</w:t>
      </w:r>
    </w:p>
    <w:p w:rsidR="006A386C" w:rsidRPr="006A386C" w:rsidRDefault="006A386C" w:rsidP="006A386C">
      <w:pPr>
        <w:widowControl/>
        <w:spacing w:before="150" w:after="150" w:line="450" w:lineRule="atLeast"/>
        <w:jc w:val="left"/>
        <w:rPr>
          <w:rFonts w:ascii="微软雅黑" w:eastAsia="微软雅黑" w:hAnsi="微软雅黑" w:cs="宋体" w:hint="eastAsia"/>
          <w:color w:val="444444"/>
          <w:kern w:val="0"/>
          <w:sz w:val="24"/>
          <w:szCs w:val="24"/>
        </w:rPr>
      </w:pPr>
      <w:r w:rsidRPr="006A386C">
        <w:rPr>
          <w:rFonts w:ascii="微软雅黑" w:eastAsia="微软雅黑" w:hAnsi="微软雅黑" w:cs="宋体" w:hint="eastAsia"/>
          <w:color w:val="444444"/>
          <w:kern w:val="0"/>
          <w:sz w:val="24"/>
          <w:szCs w:val="24"/>
        </w:rPr>
        <w:t xml:space="preserve">　　二十、本《意见》自印发之日起施行。市有关部门可根据本《意见》精神，制订具体实施细则。</w:t>
      </w:r>
    </w:p>
    <w:p w:rsidR="001846FF" w:rsidRDefault="006A386C"/>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26"/>
    <w:rsid w:val="00491526"/>
    <w:rsid w:val="006A386C"/>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CBF95-7FD9-402E-B1D8-5B6A56C4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A386C"/>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6A386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A386C"/>
    <w:rPr>
      <w:rFonts w:ascii="宋体" w:eastAsia="宋体" w:hAnsi="宋体" w:cs="宋体"/>
      <w:b/>
      <w:bCs/>
      <w:color w:val="333333"/>
      <w:kern w:val="36"/>
      <w:sz w:val="36"/>
      <w:szCs w:val="36"/>
    </w:rPr>
  </w:style>
  <w:style w:type="character" w:customStyle="1" w:styleId="2Char">
    <w:name w:val="标题 2 Char"/>
    <w:basedOn w:val="a0"/>
    <w:link w:val="2"/>
    <w:uiPriority w:val="9"/>
    <w:rsid w:val="006A386C"/>
    <w:rPr>
      <w:rFonts w:ascii="宋体" w:eastAsia="宋体" w:hAnsi="宋体" w:cs="宋体"/>
      <w:b/>
      <w:bCs/>
      <w:kern w:val="0"/>
      <w:sz w:val="36"/>
      <w:szCs w:val="36"/>
    </w:rPr>
  </w:style>
  <w:style w:type="character" w:customStyle="1" w:styleId="bsharecount">
    <w:name w:val="bshare_count"/>
    <w:basedOn w:val="a0"/>
    <w:rsid w:val="006A386C"/>
  </w:style>
  <w:style w:type="character" w:customStyle="1" w:styleId="sumcolor1">
    <w:name w:val="sum_color1"/>
    <w:basedOn w:val="a0"/>
    <w:rsid w:val="006A386C"/>
    <w:rPr>
      <w:color w:val="FFFFFF"/>
      <w:shd w:val="clear" w:color="auto" w:fill="608FAF"/>
    </w:rPr>
  </w:style>
  <w:style w:type="character" w:customStyle="1" w:styleId="sumtir1">
    <w:name w:val="sum_tir1"/>
    <w:basedOn w:val="a0"/>
    <w:rsid w:val="006A386C"/>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048488">
      <w:bodyDiv w:val="1"/>
      <w:marLeft w:val="0"/>
      <w:marRight w:val="0"/>
      <w:marTop w:val="0"/>
      <w:marBottom w:val="0"/>
      <w:divBdr>
        <w:top w:val="none" w:sz="0" w:space="0" w:color="auto"/>
        <w:left w:val="none" w:sz="0" w:space="0" w:color="auto"/>
        <w:bottom w:val="none" w:sz="0" w:space="0" w:color="auto"/>
        <w:right w:val="none" w:sz="0" w:space="0" w:color="auto"/>
      </w:divBdr>
      <w:divsChild>
        <w:div w:id="1861553205">
          <w:marLeft w:val="0"/>
          <w:marRight w:val="0"/>
          <w:marTop w:val="0"/>
          <w:marBottom w:val="0"/>
          <w:divBdr>
            <w:top w:val="none" w:sz="0" w:space="0" w:color="auto"/>
            <w:left w:val="none" w:sz="0" w:space="0" w:color="auto"/>
            <w:bottom w:val="none" w:sz="0" w:space="0" w:color="auto"/>
            <w:right w:val="none" w:sz="0" w:space="0" w:color="auto"/>
          </w:divBdr>
          <w:divsChild>
            <w:div w:id="311375879">
              <w:marLeft w:val="0"/>
              <w:marRight w:val="0"/>
              <w:marTop w:val="150"/>
              <w:marBottom w:val="0"/>
              <w:divBdr>
                <w:top w:val="single" w:sz="6" w:space="0" w:color="E4E4E4"/>
                <w:left w:val="single" w:sz="6" w:space="0" w:color="E4E4E4"/>
                <w:bottom w:val="single" w:sz="6" w:space="0" w:color="E4E4E4"/>
                <w:right w:val="single" w:sz="6" w:space="0" w:color="E4E4E4"/>
              </w:divBdr>
              <w:divsChild>
                <w:div w:id="1619797717">
                  <w:marLeft w:val="0"/>
                  <w:marRight w:val="0"/>
                  <w:marTop w:val="0"/>
                  <w:marBottom w:val="0"/>
                  <w:divBdr>
                    <w:top w:val="none" w:sz="0" w:space="0" w:color="auto"/>
                    <w:left w:val="none" w:sz="0" w:space="0" w:color="auto"/>
                    <w:bottom w:val="none" w:sz="0" w:space="0" w:color="auto"/>
                    <w:right w:val="none" w:sz="0" w:space="0" w:color="auto"/>
                  </w:divBdr>
                </w:div>
                <w:div w:id="2096247889">
                  <w:marLeft w:val="0"/>
                  <w:marRight w:val="0"/>
                  <w:marTop w:val="0"/>
                  <w:marBottom w:val="0"/>
                  <w:divBdr>
                    <w:top w:val="none" w:sz="0" w:space="0" w:color="auto"/>
                    <w:left w:val="none" w:sz="0" w:space="0" w:color="auto"/>
                    <w:bottom w:val="dashed" w:sz="6" w:space="6" w:color="E4E4E4"/>
                    <w:right w:val="none" w:sz="0" w:space="0" w:color="auto"/>
                  </w:divBdr>
                  <w:divsChild>
                    <w:div w:id="1579171578">
                      <w:marLeft w:val="0"/>
                      <w:marRight w:val="0"/>
                      <w:marTop w:val="0"/>
                      <w:marBottom w:val="0"/>
                      <w:divBdr>
                        <w:top w:val="none" w:sz="0" w:space="0" w:color="auto"/>
                        <w:left w:val="none" w:sz="0" w:space="0" w:color="auto"/>
                        <w:bottom w:val="none" w:sz="0" w:space="0" w:color="auto"/>
                        <w:right w:val="none" w:sz="0" w:space="0" w:color="auto"/>
                      </w:divBdr>
                    </w:div>
                    <w:div w:id="113721684">
                      <w:marLeft w:val="150"/>
                      <w:marRight w:val="150"/>
                      <w:marTop w:val="0"/>
                      <w:marBottom w:val="0"/>
                      <w:divBdr>
                        <w:top w:val="none" w:sz="0" w:space="0" w:color="auto"/>
                        <w:left w:val="none" w:sz="0" w:space="0" w:color="auto"/>
                        <w:bottom w:val="none" w:sz="0" w:space="0" w:color="auto"/>
                        <w:right w:val="none" w:sz="0" w:space="0" w:color="auto"/>
                      </w:divBdr>
                    </w:div>
                    <w:div w:id="1147169584">
                      <w:marLeft w:val="0"/>
                      <w:marRight w:val="0"/>
                      <w:marTop w:val="0"/>
                      <w:marBottom w:val="0"/>
                      <w:divBdr>
                        <w:top w:val="none" w:sz="0" w:space="0" w:color="auto"/>
                        <w:left w:val="none" w:sz="0" w:space="0" w:color="auto"/>
                        <w:bottom w:val="none" w:sz="0" w:space="0" w:color="auto"/>
                        <w:right w:val="none" w:sz="0" w:space="0" w:color="auto"/>
                      </w:divBdr>
                    </w:div>
                    <w:div w:id="1233731735">
                      <w:marLeft w:val="150"/>
                      <w:marRight w:val="150"/>
                      <w:marTop w:val="0"/>
                      <w:marBottom w:val="0"/>
                      <w:divBdr>
                        <w:top w:val="none" w:sz="0" w:space="0" w:color="auto"/>
                        <w:left w:val="none" w:sz="0" w:space="0" w:color="auto"/>
                        <w:bottom w:val="none" w:sz="0" w:space="0" w:color="auto"/>
                        <w:right w:val="none" w:sz="0" w:space="0" w:color="auto"/>
                      </w:divBdr>
                    </w:div>
                    <w:div w:id="1768233166">
                      <w:marLeft w:val="0"/>
                      <w:marRight w:val="0"/>
                      <w:marTop w:val="0"/>
                      <w:marBottom w:val="0"/>
                      <w:divBdr>
                        <w:top w:val="none" w:sz="0" w:space="0" w:color="auto"/>
                        <w:left w:val="none" w:sz="0" w:space="0" w:color="auto"/>
                        <w:bottom w:val="none" w:sz="0" w:space="0" w:color="auto"/>
                        <w:right w:val="none" w:sz="0" w:space="0" w:color="auto"/>
                      </w:divBdr>
                    </w:div>
                    <w:div w:id="706561629">
                      <w:marLeft w:val="0"/>
                      <w:marRight w:val="0"/>
                      <w:marTop w:val="0"/>
                      <w:marBottom w:val="0"/>
                      <w:divBdr>
                        <w:top w:val="none" w:sz="0" w:space="0" w:color="auto"/>
                        <w:left w:val="none" w:sz="0" w:space="0" w:color="auto"/>
                        <w:bottom w:val="none" w:sz="0" w:space="0" w:color="auto"/>
                        <w:right w:val="none" w:sz="0" w:space="0" w:color="auto"/>
                      </w:divBdr>
                    </w:div>
                    <w:div w:id="1934317639">
                      <w:marLeft w:val="0"/>
                      <w:marRight w:val="0"/>
                      <w:marTop w:val="0"/>
                      <w:marBottom w:val="0"/>
                      <w:divBdr>
                        <w:top w:val="none" w:sz="0" w:space="0" w:color="auto"/>
                        <w:left w:val="none" w:sz="0" w:space="0" w:color="auto"/>
                        <w:bottom w:val="none" w:sz="0" w:space="0" w:color="auto"/>
                        <w:right w:val="none" w:sz="0" w:space="0" w:color="auto"/>
                      </w:divBdr>
                    </w:div>
                    <w:div w:id="960182933">
                      <w:marLeft w:val="0"/>
                      <w:marRight w:val="150"/>
                      <w:marTop w:val="0"/>
                      <w:marBottom w:val="0"/>
                      <w:divBdr>
                        <w:top w:val="none" w:sz="0" w:space="0" w:color="auto"/>
                        <w:left w:val="none" w:sz="0" w:space="0" w:color="auto"/>
                        <w:bottom w:val="none" w:sz="0" w:space="0" w:color="auto"/>
                        <w:right w:val="none" w:sz="0" w:space="0" w:color="auto"/>
                      </w:divBdr>
                    </w:div>
                  </w:divsChild>
                </w:div>
                <w:div w:id="203055481">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13" Type="http://schemas.openxmlformats.org/officeDocument/2006/relationships/hyperlink" Target="http://www.zgsxzs.com/c/HangYeFenLei.php?typeid2=189" TargetMode="External"/><Relationship Id="rId3" Type="http://schemas.openxmlformats.org/officeDocument/2006/relationships/webSettings" Target="webSettings.xml"/><Relationship Id="rId7" Type="http://schemas.openxmlformats.org/officeDocument/2006/relationships/hyperlink" Target="http://www.zgsxzs.com/industry/1092.html" TargetMode="External"/><Relationship Id="rId12" Type="http://schemas.openxmlformats.org/officeDocument/2006/relationships/hyperlink" Target="http://www.zgsxzs.com/industry/1078.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zgsxzs.com/list-1212.html" TargetMode="External"/><Relationship Id="rId11" Type="http://schemas.openxmlformats.org/officeDocument/2006/relationships/hyperlink" Target="http://www.zgsxzs.com/industry/1070.html" TargetMode="External"/><Relationship Id="rId5" Type="http://schemas.openxmlformats.org/officeDocument/2006/relationships/hyperlink" Target="http://www.zgsxzs.com/list-1212.html" TargetMode="External"/><Relationship Id="rId15" Type="http://schemas.openxmlformats.org/officeDocument/2006/relationships/fontTable" Target="fontTable.xml"/><Relationship Id="rId10" Type="http://schemas.openxmlformats.org/officeDocument/2006/relationships/hyperlink" Target="http://www.zgsxzs.com/industry/1118.html" TargetMode="External"/><Relationship Id="rId4" Type="http://schemas.openxmlformats.org/officeDocument/2006/relationships/hyperlink" Target="http://www.zgsxzs.com/cate_child.php?pid=12&amp;cid=191" TargetMode="External"/><Relationship Id="rId9" Type="http://schemas.openxmlformats.org/officeDocument/2006/relationships/hyperlink" Target="http://www.zgsxzs.com" TargetMode="External"/><Relationship Id="rId14" Type="http://schemas.openxmlformats.org/officeDocument/2006/relationships/hyperlink" Target="http://www.zgsxzs.com/category.php?pid=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2018-05-04T07:12:00Z</dcterms:created>
  <dcterms:modified xsi:type="dcterms:W3CDTF">2018-05-04T07:12:00Z</dcterms:modified>
</cp:coreProperties>
</file>