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60" w:type="dxa"/>
        <w:tblCellSpacing w:w="0" w:type="dxa"/>
        <w:tblCellMar>
          <w:left w:w="0" w:type="dxa"/>
          <w:right w:w="0" w:type="dxa"/>
        </w:tblCellMar>
        <w:tblLook w:val="04A0" w:firstRow="1" w:lastRow="0" w:firstColumn="1" w:lastColumn="0" w:noHBand="0" w:noVBand="1"/>
      </w:tblPr>
      <w:tblGrid>
        <w:gridCol w:w="15060"/>
      </w:tblGrid>
      <w:tr w:rsidR="00F86CF5" w:rsidRPr="00F86CF5">
        <w:trPr>
          <w:trHeight w:val="500"/>
          <w:tblCellSpacing w:w="0" w:type="dxa"/>
        </w:trPr>
        <w:tc>
          <w:tcPr>
            <w:tcW w:w="0" w:type="auto"/>
            <w:vAlign w:val="center"/>
            <w:hideMark/>
          </w:tcPr>
          <w:p w:rsidR="00F86CF5" w:rsidRPr="00F86CF5" w:rsidRDefault="00F86CF5" w:rsidP="00F86CF5">
            <w:pPr>
              <w:widowControl/>
              <w:jc w:val="center"/>
              <w:rPr>
                <w:rFonts w:ascii="微软雅黑" w:eastAsia="微软雅黑" w:hAnsi="微软雅黑" w:cs="宋体"/>
                <w:kern w:val="0"/>
                <w:szCs w:val="21"/>
              </w:rPr>
            </w:pPr>
            <w:r w:rsidRPr="00F86CF5">
              <w:rPr>
                <w:rFonts w:ascii="微软雅黑" w:eastAsia="微软雅黑" w:hAnsi="微软雅黑" w:cs="宋体" w:hint="eastAsia"/>
                <w:b/>
                <w:bCs/>
                <w:color w:val="106AE5"/>
                <w:kern w:val="0"/>
                <w:sz w:val="27"/>
                <w:szCs w:val="27"/>
              </w:rPr>
              <w:t>山东省即墨经济开发区管理委员会关于总部企业招商引资奖励的实施办法</w:t>
            </w:r>
          </w:p>
        </w:tc>
      </w:tr>
      <w:tr w:rsidR="00F86CF5" w:rsidRPr="00F86CF5">
        <w:trPr>
          <w:trHeight w:val="450"/>
          <w:tblCellSpacing w:w="0" w:type="dxa"/>
        </w:trPr>
        <w:tc>
          <w:tcPr>
            <w:tcW w:w="0" w:type="auto"/>
            <w:vAlign w:val="center"/>
            <w:hideMark/>
          </w:tcPr>
          <w:p w:rsidR="00F86CF5" w:rsidRPr="00F86CF5" w:rsidRDefault="00F86CF5" w:rsidP="00F86CF5">
            <w:pPr>
              <w:widowControl/>
              <w:jc w:val="center"/>
              <w:rPr>
                <w:rFonts w:ascii="微软雅黑" w:eastAsia="微软雅黑" w:hAnsi="微软雅黑" w:cs="宋体"/>
                <w:kern w:val="0"/>
                <w:szCs w:val="21"/>
              </w:rPr>
            </w:pPr>
            <w:r w:rsidRPr="00F86CF5">
              <w:rPr>
                <w:rFonts w:ascii="微软雅黑" w:eastAsia="微软雅黑" w:hAnsi="微软雅黑" w:cs="宋体" w:hint="eastAsia"/>
                <w:kern w:val="0"/>
                <w:szCs w:val="21"/>
              </w:rPr>
              <w:t>更新时间：2018-05-07</w:t>
            </w:r>
          </w:p>
        </w:tc>
      </w:tr>
      <w:tr w:rsidR="00F86CF5" w:rsidRPr="00F86CF5">
        <w:trPr>
          <w:tblCellSpacing w:w="0" w:type="dxa"/>
        </w:trPr>
        <w:tc>
          <w:tcPr>
            <w:tcW w:w="0" w:type="auto"/>
            <w:vAlign w:val="center"/>
            <w:hideMark/>
          </w:tcPr>
          <w:p w:rsidR="00F86CF5" w:rsidRPr="00F86CF5" w:rsidRDefault="00F86CF5" w:rsidP="00F86CF5">
            <w:pPr>
              <w:widowControl/>
              <w:jc w:val="center"/>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山东省即墨经济开发区管理委员会</w:t>
            </w:r>
          </w:p>
          <w:p w:rsidR="00F86CF5" w:rsidRPr="00F86CF5" w:rsidRDefault="00F86CF5" w:rsidP="00F86CF5">
            <w:pPr>
              <w:widowControl/>
              <w:jc w:val="center"/>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关于总部企业招商引资奖励的实施办法</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为进一步推进即墨经济开发区招商引资工作，加快推进新旧动能转化，提高招商引资质量和水平，发展总部经济，根据《青岛市即墨区招商引资扶持奖励政策》，现制定总部企业招商引资奖励实施办法。</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一、适用范围</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（一）大健康、微电子、新材料、军民融合、海洋生物医药、人工智能</w:t>
            </w:r>
            <w:proofErr w:type="gramStart"/>
            <w:r w:rsidRPr="00F86CF5">
              <w:rPr>
                <w:rFonts w:ascii="微软雅黑" w:eastAsia="微软雅黑" w:hAnsi="微软雅黑" w:cs="宋体" w:hint="eastAsia"/>
                <w:kern w:val="0"/>
                <w:szCs w:val="21"/>
              </w:rPr>
              <w:t>及增材制造</w:t>
            </w:r>
            <w:bookmarkStart w:id="0" w:name="_GoBack"/>
            <w:bookmarkEnd w:id="0"/>
            <w:proofErr w:type="gramEnd"/>
            <w:r w:rsidRPr="00F86CF5">
              <w:rPr>
                <w:rFonts w:ascii="微软雅黑" w:eastAsia="微软雅黑" w:hAnsi="微软雅黑" w:cs="宋体" w:hint="eastAsia"/>
                <w:kern w:val="0"/>
                <w:szCs w:val="21"/>
              </w:rPr>
              <w:t>、生命科技等战略新兴产业和高新农业。</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（二）教育培训、文化创意、体育运动、新型贸易、会展展览、大数据与云计算、产业互联网及新型科技平台、市场商贸、现代旅游、现代物流、现代金融等现代服务业。</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三）以上项目必须符合国家产业政策、青岛市、即墨区及开发区产业发展规划，按照投资协议约定履约并正常经营，企业注册地、税收户管地和主要办公场所均在开发区，具有独立的法人资格、实行独立核算；实缴注册资本1000万元以上（外币按同期汇率折算，且年纳税额200万元以上）或年纳税额500万元以上。</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（四）以上需是2018年1月1日后新引进的青岛市即墨区以外项目。</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二、对落地项目扶持政策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（一）房租补贴扶持政策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1、符合适用范围的项目在经济开发区租赁开发区所属物业办公的，按照房租“三免两减半”给予扶持，即前三年给予房租不高于100%补贴扶持，后两年给予房租不高于50%补贴扶持。</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2、租金采取先交后返的方式，</w:t>
            </w:r>
            <w:proofErr w:type="gramStart"/>
            <w:r w:rsidRPr="00F86CF5">
              <w:rPr>
                <w:rFonts w:ascii="微软雅黑" w:eastAsia="微软雅黑" w:hAnsi="微软雅黑" w:cs="宋体" w:hint="eastAsia"/>
                <w:kern w:val="0"/>
                <w:szCs w:val="21"/>
              </w:rPr>
              <w:t>自项目</w:t>
            </w:r>
            <w:proofErr w:type="gramEnd"/>
            <w:r w:rsidRPr="00F86CF5">
              <w:rPr>
                <w:rFonts w:ascii="微软雅黑" w:eastAsia="微软雅黑" w:hAnsi="微软雅黑" w:cs="宋体" w:hint="eastAsia"/>
                <w:kern w:val="0"/>
                <w:szCs w:val="21"/>
              </w:rPr>
              <w:t>落地入驻后30日内缴纳第一年租金，下一个租赁年度开始前30日内，按照《创智新区招商入驻项目办公用地暂行办法》（即</w:t>
            </w:r>
            <w:proofErr w:type="gramStart"/>
            <w:r w:rsidRPr="00F86CF5">
              <w:rPr>
                <w:rFonts w:ascii="微软雅黑" w:eastAsia="微软雅黑" w:hAnsi="微软雅黑" w:cs="宋体" w:hint="eastAsia"/>
                <w:kern w:val="0"/>
                <w:szCs w:val="21"/>
              </w:rPr>
              <w:t>经蓝管</w:t>
            </w:r>
            <w:proofErr w:type="gramEnd"/>
            <w:r w:rsidRPr="00F86CF5">
              <w:rPr>
                <w:rFonts w:ascii="微软雅黑" w:eastAsia="微软雅黑" w:hAnsi="微软雅黑" w:cs="宋体" w:hint="eastAsia"/>
                <w:kern w:val="0"/>
                <w:szCs w:val="21"/>
              </w:rPr>
              <w:t>字[2016]47号）给予租金补贴扶持，以后年度租金缴纳返还按照上述方式执行。</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（二）财政税收政策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符合适应范围的且经认定为总部企业的，</w:t>
            </w:r>
            <w:proofErr w:type="gramStart"/>
            <w:r w:rsidRPr="00F86CF5">
              <w:rPr>
                <w:rFonts w:ascii="微软雅黑" w:eastAsia="微软雅黑" w:hAnsi="微软雅黑" w:cs="宋体" w:hint="eastAsia"/>
                <w:kern w:val="0"/>
                <w:szCs w:val="21"/>
              </w:rPr>
              <w:t>自认定</w:t>
            </w:r>
            <w:proofErr w:type="gramEnd"/>
            <w:r w:rsidRPr="00F86CF5">
              <w:rPr>
                <w:rFonts w:ascii="微软雅黑" w:eastAsia="微软雅黑" w:hAnsi="微软雅黑" w:cs="宋体" w:hint="eastAsia"/>
                <w:kern w:val="0"/>
                <w:szCs w:val="21"/>
              </w:rPr>
              <w:t>之日起按照认定后前三个完整年度所产生的经济开发区级的地方贡献总额70%给予补助。</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三、对社会个人及中介机构奖励政策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（一）奖励对象</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成功引荐境内外投资者在即墨开发区投资落户，在第一时间提供有效信息，并在项目推进过程中做了大量工作、起到关键作用的个人和机构（我区行政机关、事业单位、国有企业和其他财政拨款的单位及其工作人员除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（二）奖励标准</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1、符合适应范围的且经认定为总部企业的，按照</w:t>
            </w:r>
            <w:proofErr w:type="gramStart"/>
            <w:r w:rsidRPr="00F86CF5">
              <w:rPr>
                <w:rFonts w:ascii="微软雅黑" w:eastAsia="微软雅黑" w:hAnsi="微软雅黑" w:cs="宋体" w:hint="eastAsia"/>
                <w:kern w:val="0"/>
                <w:szCs w:val="21"/>
              </w:rPr>
              <w:t>自认定</w:t>
            </w:r>
            <w:proofErr w:type="gramEnd"/>
            <w:r w:rsidRPr="00F86CF5">
              <w:rPr>
                <w:rFonts w:ascii="微软雅黑" w:eastAsia="微软雅黑" w:hAnsi="微软雅黑" w:cs="宋体" w:hint="eastAsia"/>
                <w:kern w:val="0"/>
                <w:szCs w:val="21"/>
              </w:rPr>
              <w:t>之日起第一个完整年度纳税额的1%给予引荐者奖励，单个项目奖励不超过10万元。</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2、对投资额大、产业关联度高、带动性强、对地方经济发展贡献大的重点项目引荐者奖励需超过上述标准的，可采取一事一议的办法，提交即墨区招商引资促进委员会共同研究确定。</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（三）奖励申领程序</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lastRenderedPageBreak/>
              <w:t xml:space="preserve">　　1、备案登记。引荐者在项目办理工商登记手续后60天内，到开发区经济发展中心登记备案，写出书面申请，同时提供项目业主出具的投资引荐委托书、引荐者有效身份证明、引进企业营业执照复印件。逾期不办者，视为自动放弃。 </w:t>
            </w:r>
            <w:r w:rsidRPr="00F86CF5">
              <w:rPr>
                <w:rFonts w:ascii="微软雅黑" w:eastAsia="微软雅黑" w:hAnsi="微软雅黑" w:cs="宋体" w:hint="eastAsia"/>
                <w:kern w:val="0"/>
                <w:szCs w:val="21"/>
              </w:rPr>
              <w:br/>
              <w:t>    2、申报奖励。在达到本办法设定的标准后，向山东省即墨经济开发区管理委员会经济发展中心提出奖励申请。引荐者办理奖金申领手续时所需的材料如下：</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（1）青岛市即墨区外来资金引荐者备案登记表；</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（2）引荐者有效身份证明（个人身份证或工商注册登记证）；</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（3）项目业主对引荐者的确认函；</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（4）负责项目引进的招商部门对引荐者的证明材料；</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（5）项目方的工商注册登记证、验资报告、出资证明或纳税证明材料。   </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若引荐者委托他人代为办理奖励申领手续，除上述材料外，还需同时提交由引荐者出具的书面委托书及受托人的有效身份证明。</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3、初步审核。奖励由山东省即墨经济开发区管理委员会经济发展中心在受理引资者申报奖励材料后，按规定进行程序性审核。</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4、公示。由山东省即墨经济开发区管理委员会负责将初步审核结果通过报纸、网络等媒体进行公示，在公示之日起10个工作日内，如果没有其他人提出异议，则初步确认公示名单上的引资者为受奖人。</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5、审查批准。由山东省即墨经济开发区管理委员会办公会审查批准。</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6、奖金发放。依据开发区办公会议的决定，发放招商引资奖励专项资金，引资者为个人的，应依法代扣代缴个人所得税。受奖人在接到批准决定之日起，一年内须办理奖金领取手续，逾期不办者，视为自动放弃。奖金均以人民币支付。</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四、注意事项</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1、本政策与上级及其他部门制定政策不一致时，按照最高标准执行，不重复享受优惠政策。</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2、按照“先交后奖和所有奖励不超过地方财力贡献”的原则，采取“后补助”方式，以实际地方财力贡献为限。</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3、本文件由即墨经济开发区管委负责解释，自正式下发之日起暂行一年，有效期至2019年5月31日止。</w:t>
            </w:r>
          </w:p>
          <w:p w:rsidR="00F86CF5" w:rsidRPr="00F86CF5" w:rsidRDefault="00F86CF5" w:rsidP="00F86CF5">
            <w:pPr>
              <w:widowControl/>
              <w:jc w:val="left"/>
              <w:rPr>
                <w:rFonts w:ascii="微软雅黑" w:eastAsia="微软雅黑" w:hAnsi="微软雅黑" w:cs="宋体"/>
                <w:kern w:val="0"/>
                <w:szCs w:val="21"/>
              </w:rPr>
            </w:pPr>
            <w:r w:rsidRPr="00F86CF5">
              <w:rPr>
                <w:rFonts w:ascii="微软雅黑" w:eastAsia="微软雅黑" w:hAnsi="微软雅黑" w:cs="宋体" w:hint="eastAsia"/>
                <w:kern w:val="0"/>
                <w:szCs w:val="21"/>
              </w:rPr>
              <w:t xml:space="preserve">　　山东省即墨经济开发区管理委员会         2018年5月4日印发</w:t>
            </w:r>
          </w:p>
        </w:tc>
      </w:tr>
    </w:tbl>
    <w:p w:rsidR="0005687E" w:rsidRPr="00F86CF5" w:rsidRDefault="001C00D0"/>
    <w:sectPr w:rsidR="0005687E" w:rsidRPr="00F86CF5" w:rsidSect="001C00D0">
      <w:pgSz w:w="16839" w:h="23814"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F5"/>
    <w:rsid w:val="001B6451"/>
    <w:rsid w:val="001C00D0"/>
    <w:rsid w:val="00EF74AA"/>
    <w:rsid w:val="00F8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F165A-F64F-4939-A9B6-B54703DD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6CF5"/>
    <w:pPr>
      <w:widowControl/>
      <w:jc w:val="left"/>
    </w:pPr>
    <w:rPr>
      <w:rFonts w:ascii="宋体" w:eastAsia="宋体" w:hAnsi="宋体" w:cs="宋体"/>
      <w:kern w:val="0"/>
      <w:sz w:val="24"/>
      <w:szCs w:val="24"/>
    </w:rPr>
  </w:style>
  <w:style w:type="character" w:customStyle="1" w:styleId="font181">
    <w:name w:val="font181"/>
    <w:basedOn w:val="a0"/>
    <w:rsid w:val="00F86CF5"/>
    <w:rPr>
      <w:b/>
      <w:bCs/>
      <w:color w:val="106AE5"/>
      <w:sz w:val="27"/>
      <w:szCs w:val="27"/>
    </w:rPr>
  </w:style>
  <w:style w:type="character" w:customStyle="1" w:styleId="gxsj">
    <w:name w:val="gxsj"/>
    <w:basedOn w:val="a0"/>
    <w:rsid w:val="00F8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19336">
      <w:bodyDiv w:val="1"/>
      <w:marLeft w:val="0"/>
      <w:marRight w:val="0"/>
      <w:marTop w:val="0"/>
      <w:marBottom w:val="0"/>
      <w:divBdr>
        <w:top w:val="none" w:sz="0" w:space="0" w:color="auto"/>
        <w:left w:val="none" w:sz="0" w:space="0" w:color="auto"/>
        <w:bottom w:val="none" w:sz="0" w:space="0" w:color="auto"/>
        <w:right w:val="none" w:sz="0" w:space="0" w:color="auto"/>
      </w:divBdr>
      <w:divsChild>
        <w:div w:id="69726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2</cp:revision>
  <dcterms:created xsi:type="dcterms:W3CDTF">2018-05-08T08:24:00Z</dcterms:created>
  <dcterms:modified xsi:type="dcterms:W3CDTF">2018-09-05T10:19:00Z</dcterms:modified>
</cp:coreProperties>
</file>