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E14" w:rsidRPr="00242E14" w:rsidRDefault="00242E14" w:rsidP="00242E14">
      <w:pPr>
        <w:shd w:val="clear" w:color="auto" w:fill="FFFFFF"/>
        <w:adjustRightInd/>
        <w:snapToGrid/>
        <w:spacing w:after="300"/>
        <w:jc w:val="center"/>
        <w:outlineLvl w:val="0"/>
        <w:rPr>
          <w:rFonts w:ascii="宋体" w:eastAsia="宋体" w:hAnsi="宋体" w:cs="宋体"/>
          <w:b/>
          <w:bCs/>
          <w:color w:val="0265C2"/>
          <w:kern w:val="36"/>
          <w:sz w:val="33"/>
          <w:szCs w:val="33"/>
        </w:rPr>
      </w:pPr>
      <w:r w:rsidRPr="00242E14">
        <w:rPr>
          <w:rFonts w:ascii="宋体" w:eastAsia="宋体" w:hAnsi="宋体" w:cs="宋体" w:hint="eastAsia"/>
          <w:b/>
          <w:bCs/>
          <w:color w:val="0265C2"/>
          <w:kern w:val="36"/>
          <w:sz w:val="33"/>
          <w:szCs w:val="33"/>
        </w:rPr>
        <w:t>攀枝花市人民政府关于印发 《攀枝花市全面推进大众创业万众创新工作实施方案》 的通知(攀府发〔2015〕29号)</w:t>
      </w:r>
    </w:p>
    <w:tbl>
      <w:tblPr>
        <w:tblW w:w="5000" w:type="pct"/>
        <w:tblBorders>
          <w:top w:val="single" w:sz="6" w:space="0" w:color="E0E0E0"/>
          <w:left w:val="single" w:sz="6" w:space="0" w:color="E0E0E0"/>
          <w:bottom w:val="single" w:sz="6" w:space="0" w:color="E0E0E0"/>
          <w:right w:val="single" w:sz="6" w:space="0" w:color="E0E0E0"/>
        </w:tblBorders>
        <w:shd w:val="clear" w:color="auto" w:fill="F5F5F5"/>
        <w:tblCellMar>
          <w:top w:w="120" w:type="dxa"/>
          <w:left w:w="0" w:type="dxa"/>
          <w:bottom w:w="90" w:type="dxa"/>
          <w:right w:w="0" w:type="dxa"/>
        </w:tblCellMar>
        <w:tblLook w:val="04A0"/>
      </w:tblPr>
      <w:tblGrid>
        <w:gridCol w:w="8308"/>
        <w:gridCol w:w="14"/>
      </w:tblGrid>
      <w:tr w:rsidR="00242E14" w:rsidRPr="00242E14" w:rsidTr="00242E14">
        <w:trPr>
          <w:trHeight w:val="525"/>
        </w:trPr>
        <w:tc>
          <w:tcPr>
            <w:tcW w:w="0" w:type="auto"/>
            <w:shd w:val="clear" w:color="auto" w:fill="F5F5F5"/>
            <w:tcMar>
              <w:top w:w="0" w:type="dxa"/>
              <w:left w:w="0" w:type="dxa"/>
              <w:bottom w:w="0" w:type="dxa"/>
              <w:right w:w="0" w:type="dxa"/>
            </w:tcMar>
            <w:vAlign w:val="center"/>
            <w:hideMark/>
          </w:tcPr>
          <w:p w:rsidR="00242E14" w:rsidRPr="00242E14" w:rsidRDefault="00242E14" w:rsidP="00242E14">
            <w:pPr>
              <w:adjustRightInd/>
              <w:snapToGrid/>
              <w:spacing w:after="0"/>
              <w:jc w:val="center"/>
              <w:rPr>
                <w:rFonts w:ascii="Verdana" w:eastAsia="宋体" w:hAnsi="Verdana" w:cs="宋体"/>
                <w:color w:val="000000"/>
                <w:sz w:val="18"/>
                <w:szCs w:val="18"/>
              </w:rPr>
            </w:pPr>
            <w:r w:rsidRPr="00242E14">
              <w:rPr>
                <w:rFonts w:ascii="Verdana" w:eastAsia="宋体" w:hAnsi="Verdana" w:cs="宋体"/>
                <w:color w:val="000000"/>
                <w:sz w:val="18"/>
                <w:szCs w:val="18"/>
              </w:rPr>
              <w:t>www.panzhihua.gov.cn   </w:t>
            </w:r>
            <w:r w:rsidRPr="00242E14">
              <w:rPr>
                <w:rFonts w:ascii="Verdana" w:eastAsia="宋体" w:hAnsi="Verdana" w:cs="宋体"/>
                <w:color w:val="000000"/>
                <w:sz w:val="18"/>
                <w:szCs w:val="18"/>
              </w:rPr>
              <w:t>发布时间：</w:t>
            </w:r>
            <w:r w:rsidRPr="00242E14">
              <w:rPr>
                <w:rFonts w:ascii="Verdana" w:eastAsia="宋体" w:hAnsi="Verdana" w:cs="宋体"/>
                <w:color w:val="000000"/>
                <w:sz w:val="18"/>
              </w:rPr>
              <w:t>2016-08-15</w:t>
            </w:r>
            <w:r w:rsidRPr="00242E14">
              <w:rPr>
                <w:rFonts w:ascii="Verdana" w:eastAsia="宋体" w:hAnsi="Verdana" w:cs="宋体"/>
                <w:color w:val="000000"/>
                <w:sz w:val="18"/>
                <w:szCs w:val="18"/>
              </w:rPr>
              <w:t>   </w:t>
            </w:r>
            <w:r w:rsidRPr="00242E14">
              <w:rPr>
                <w:rFonts w:ascii="Verdana" w:eastAsia="宋体" w:hAnsi="Verdana" w:cs="宋体"/>
                <w:color w:val="000000"/>
                <w:sz w:val="18"/>
                <w:szCs w:val="18"/>
              </w:rPr>
              <w:t>来源：</w:t>
            </w:r>
            <w:r w:rsidRPr="00242E14">
              <w:rPr>
                <w:rFonts w:ascii="Verdana" w:eastAsia="宋体" w:hAnsi="Verdana" w:cs="宋体"/>
                <w:color w:val="000000"/>
                <w:sz w:val="18"/>
                <w:szCs w:val="18"/>
              </w:rPr>
              <w:t xml:space="preserve">      </w:t>
            </w:r>
            <w:r w:rsidRPr="00242E14">
              <w:rPr>
                <w:rFonts w:ascii="Verdana" w:eastAsia="宋体" w:hAnsi="Verdana" w:cs="宋体"/>
                <w:color w:val="000000"/>
                <w:sz w:val="18"/>
                <w:szCs w:val="18"/>
              </w:rPr>
              <w:t>选择阅读字体：</w:t>
            </w:r>
            <w:r w:rsidRPr="00242E14">
              <w:rPr>
                <w:rFonts w:ascii="Verdana" w:eastAsia="宋体" w:hAnsi="Verdana" w:cs="宋体"/>
                <w:color w:val="000000"/>
                <w:sz w:val="18"/>
                <w:szCs w:val="18"/>
              </w:rPr>
              <w:t>[</w:t>
            </w:r>
            <w:r w:rsidRPr="00242E14">
              <w:rPr>
                <w:rFonts w:ascii="Verdana" w:eastAsia="宋体" w:hAnsi="Verdana" w:cs="宋体"/>
                <w:color w:val="000000"/>
                <w:sz w:val="18"/>
              </w:rPr>
              <w:t> </w:t>
            </w:r>
            <w:r w:rsidRPr="00242E14">
              <w:rPr>
                <w:rFonts w:ascii="Verdana" w:eastAsia="宋体" w:hAnsi="Verdana" w:cs="宋体"/>
                <w:color w:val="000000"/>
                <w:sz w:val="18"/>
              </w:rPr>
              <w:t>大</w:t>
            </w:r>
            <w:r w:rsidRPr="00242E14">
              <w:rPr>
                <w:rFonts w:ascii="Verdana" w:eastAsia="宋体" w:hAnsi="Verdana" w:cs="宋体"/>
                <w:color w:val="000000"/>
                <w:sz w:val="18"/>
              </w:rPr>
              <w:t> </w:t>
            </w:r>
            <w:r w:rsidRPr="00242E14">
              <w:rPr>
                <w:rFonts w:ascii="Verdana" w:eastAsia="宋体" w:hAnsi="Verdana" w:cs="宋体"/>
                <w:color w:val="000000"/>
                <w:sz w:val="18"/>
              </w:rPr>
              <w:t>中</w:t>
            </w:r>
            <w:r w:rsidRPr="00242E14">
              <w:rPr>
                <w:rFonts w:ascii="Verdana" w:eastAsia="宋体" w:hAnsi="Verdana" w:cs="宋体"/>
                <w:color w:val="000000"/>
                <w:sz w:val="18"/>
              </w:rPr>
              <w:t> </w:t>
            </w:r>
            <w:r w:rsidRPr="00242E14">
              <w:rPr>
                <w:rFonts w:ascii="Verdana" w:eastAsia="宋体" w:hAnsi="Verdana" w:cs="宋体"/>
                <w:color w:val="000000"/>
                <w:sz w:val="18"/>
              </w:rPr>
              <w:t>小</w:t>
            </w:r>
            <w:r w:rsidRPr="00242E14">
              <w:rPr>
                <w:rFonts w:ascii="Verdana" w:eastAsia="宋体" w:hAnsi="Verdana" w:cs="宋体"/>
                <w:color w:val="000000"/>
                <w:sz w:val="18"/>
              </w:rPr>
              <w:t> </w:t>
            </w:r>
            <w:r w:rsidRPr="00242E14">
              <w:rPr>
                <w:rFonts w:ascii="Verdana" w:eastAsia="宋体" w:hAnsi="Verdana" w:cs="宋体"/>
                <w:color w:val="000000"/>
                <w:sz w:val="18"/>
                <w:szCs w:val="18"/>
              </w:rPr>
              <w:t xml:space="preserve">] </w:t>
            </w:r>
            <w:r w:rsidRPr="00242E14">
              <w:rPr>
                <w:rFonts w:ascii="Verdana" w:eastAsia="宋体" w:hAnsi="Verdana" w:cs="宋体"/>
                <w:color w:val="000000"/>
                <w:sz w:val="18"/>
                <w:szCs w:val="18"/>
              </w:rPr>
              <w:t>阅读次数：</w:t>
            </w:r>
            <w:r w:rsidRPr="00242E14">
              <w:rPr>
                <w:rFonts w:ascii="Verdana" w:eastAsia="宋体" w:hAnsi="Verdana" w:cs="宋体"/>
                <w:color w:val="000000"/>
                <w:sz w:val="18"/>
                <w:szCs w:val="18"/>
              </w:rPr>
              <w:t>12</w:t>
            </w:r>
          </w:p>
        </w:tc>
        <w:tc>
          <w:tcPr>
            <w:tcW w:w="0" w:type="auto"/>
            <w:shd w:val="clear" w:color="auto" w:fill="F5F5F5"/>
            <w:tcMar>
              <w:top w:w="0" w:type="dxa"/>
              <w:left w:w="0" w:type="dxa"/>
              <w:bottom w:w="0" w:type="dxa"/>
              <w:right w:w="0" w:type="dxa"/>
            </w:tcMar>
            <w:vAlign w:val="center"/>
            <w:hideMark/>
          </w:tcPr>
          <w:p w:rsidR="00242E14" w:rsidRPr="00242E14" w:rsidRDefault="00242E14" w:rsidP="00242E14">
            <w:pPr>
              <w:adjustRightInd/>
              <w:snapToGrid/>
              <w:spacing w:after="0"/>
              <w:jc w:val="center"/>
              <w:rPr>
                <w:rFonts w:ascii="Verdana" w:eastAsia="宋体" w:hAnsi="Verdana" w:cs="宋体"/>
                <w:color w:val="000000"/>
                <w:sz w:val="18"/>
                <w:szCs w:val="18"/>
              </w:rPr>
            </w:pPr>
          </w:p>
        </w:tc>
      </w:tr>
    </w:tbl>
    <w:p w:rsidR="00242E14" w:rsidRPr="00242E14" w:rsidRDefault="00242E14" w:rsidP="00242E14">
      <w:pPr>
        <w:shd w:val="clear" w:color="auto" w:fill="FFFFFF"/>
        <w:adjustRightInd/>
        <w:snapToGrid/>
        <w:spacing w:after="0" w:line="315" w:lineRule="atLeast"/>
        <w:ind w:firstLine="480"/>
        <w:jc w:val="center"/>
        <w:rPr>
          <w:rFonts w:ascii="宋体" w:eastAsia="宋体" w:hAnsi="宋体" w:cs="宋体" w:hint="eastAsia"/>
          <w:color w:val="000000"/>
          <w:sz w:val="24"/>
          <w:szCs w:val="24"/>
        </w:rPr>
      </w:pPr>
      <w:r w:rsidRPr="00242E14">
        <w:rPr>
          <w:rFonts w:ascii="宋体" w:eastAsia="宋体" w:hAnsi="宋体" w:cs="宋体" w:hint="eastAsia"/>
          <w:color w:val="000000"/>
          <w:sz w:val="24"/>
          <w:szCs w:val="24"/>
        </w:rPr>
        <w:t>攀枝花市全面推进大众创业万众创新工作实施方案</w:t>
      </w:r>
    </w:p>
    <w:p w:rsidR="00242E14" w:rsidRPr="00242E14" w:rsidRDefault="00242E14" w:rsidP="00242E14">
      <w:pPr>
        <w:shd w:val="clear" w:color="auto" w:fill="FFFFFF"/>
        <w:adjustRightInd/>
        <w:snapToGrid/>
        <w:spacing w:after="0" w:line="315" w:lineRule="atLeast"/>
        <w:ind w:firstLine="480"/>
        <w:jc w:val="center"/>
        <w:rPr>
          <w:rFonts w:ascii="宋体" w:eastAsia="宋体" w:hAnsi="宋体" w:cs="宋体"/>
          <w:color w:val="000000"/>
          <w:sz w:val="24"/>
          <w:szCs w:val="24"/>
        </w:rPr>
      </w:pPr>
      <w:r w:rsidRPr="00242E14">
        <w:rPr>
          <w:rFonts w:ascii="宋体" w:eastAsia="宋体" w:hAnsi="宋体" w:cs="宋体" w:hint="eastAsia"/>
          <w:color w:val="000000"/>
          <w:sz w:val="24"/>
          <w:szCs w:val="24"/>
        </w:rPr>
        <w:t> </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为认真贯彻落实《四川省人民政府关于全面推进大众创业、万众创新的意见》（川府发〔2015〕27号）和全省全面推进“大众创业、万众创新”“互联网+”电视电话会议精神，进一步深入推进大众创业、万众创新，打造促进经济增长“新引擎”，结合攀枝花市工作实际，制定本方案。</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一、主要目标</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加快实施创新驱动发展战略，主动适应经济发展新常态，实施创业攀枝花行动，有效整合资源，集成落实政策，完善服务模式，培育创新文化，激发全社会创新创业活力，搭建创新创业转化孵化平台，构建创新创业生态体系，形成想创、会创、能创、齐创的生动局面，实现新增长、扩大新就业，促进全市经济平稳健康发展。到2017年，实现创新创业主体从小众到大众、创新创业载体从重点布局到全面建设、创新创业服务从强硬条件到重软服务的转变。全市各类孵化载体达到30家，面积达到5万平方米以上，初步建成覆盖全市的科技企业孵化培育体系，新增科技型中小微企业200家，发明专利申请量突破1000件，培育一批天使投资人和创业投资机构，创新创业政策体系更加健全，服务体系更加完善，形成全社会创新创业的浓厚社会氛围。</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二、工作任务</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一）激活创新创业主体。深化科技体制机制改革，制定落实《攀枝花市充分调动科技人员创新创业积极性的实施意见》，破除高等学校、科研院所等事业单位在人才流动、成果处置、收益分配等方面的政策束缚，激励科技人员创新创业。进一步落实《攀枝花市高层次人才引进稳定培养办法》《攀枝花市引进领军型创新创业人才暂行办法》《攀枝花市领军型技术创新人才培养暂行办法》等政策措施，搭建高层次人才引进培养平台，创新引进培养机制，不断集聚创新创业人才。实施“1+5”人才引进培养工程（即高层次人才引进“千人计划”和“钒钛之光”人才培养、“大地飘香”特色农业人才培养、“阳光花城”康养产业人才培养、“攀籍人才回流”、“大学生和科技人才创新创业”五大工程）。依托攀西战略资源创新开发试验区重大科技攻关组织搭建国际对外科技交流合作平台，加大海外高层次人才引进工作力度。推进大学生创新创业俱乐部和创新创业园建设，强化大学生创新创业教育和培训体系建设，探索建立大学生创新创业导师制，认真落实“四川青年创业促进计划”，推动大学生创新创业。完善攀枝花市农技“110”农业科技信息服务平台，安排农业专家、乡土技术能人、农业科技特派员在线或现场咨询指导，为返乡创业人员提供科技服务。大力开展群众性创新创业活动，扶持草根能人创新创业。（牵头单位：市委组织部、市科知局、市人社局。责任单位：市发改委、市经信委、市投促局、市农牧局、团市委、市科协、市外事侨务办、攀枝花学院）</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lastRenderedPageBreak/>
        <w:t>（二）夯实创新创业载体。集中力量重点打造孵化器大平台，构建一批低成本、便利化、全要素、开放式的众创空间。市政府采用众筹模式主导建立一个集政策发布、项目推介、融资服务、专家咨询等功能为一体的创新创业综合服务平台；鼓励各县（区）结合实际有效整合人才、金融、场地、资金等资源，集中力量重点打造孵化器大平台。加快建设科技孵化器，制定落实《攀枝花市加快建设科技孵化器的实施意见》，加大政策支持优惠力度，鼓励建设多角度、多层次、社会化、市场化的各类民间孵化器。指导建好国家级钒钛科技孵化器，健全引入机制，不断完善培育服务功能，促进科技成果转化，提高创业成功率。开展县（区）工业园区孵化器建设试点，帮助指导攀枝花市电子商务产业园区、东区钒钛新材料产业孵化器、盐边县创新创业孵化园等创新创业孵化平台建设。支持建设一批“孵化+创投”、“互联网+”、创新工场等新型孵化器，在全市逐步形成“创业苗圃（前孵化器）+孵化器+加速器+产业园”阶梯型孵化体系。（牵头单位：市科知局。责任单位：各县区人民政府、钒钛高新区管委会、市发改委、市经信委、市财政局、市国土资源局、市住建局、市商粮局）</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三）营造创新创业市场环境。深化商事制度改革，按照国家行政审批制度改革的要求，简化住所登记手续，加快推进一窗受理、“四证合一”、“一照一码”、并联审批、网上申报等措施，为创业企业工商注册提供便利，降低创新创业门槛。依法加强创新发明知识产权保护，将侵权行为信息纳入社会信用记录，营造创新创业公平竞争的市场环境。鼓励地方政府对众创空间等新型孵化机构的房租、宽带接入费用和用于创业服务的公共软件、开发工具给予适当补贴，鼓励众创空间为创业者提供免费高带宽互联网接入服务。（牵头单位：市工商局、市科知局。责任单位：各县区人民政府、钒钛高新区管委会）</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四）强化创新创业公共服务。推进科技服务业发展，制定落实《攀枝花市加快推进科技服务业的实施意见》，结合我省发展“五大新兴先导型服务业”的工作要求，积极支持创业孵化服务、研发设计服务、信息资源服务、科技中介服务、科技金融服务、科技文化融合、检验检测服务等科技服务业发展。综合运用政府购买服务、无偿资助、业务奖励等方式，支持中小企业公共服务平台和服务机构建设，为科技型中小微企业提供全方位专业化优质服务，支持服务机构为初创企业提供法律、知识产权、财务、咨询、检验检测认证和技术转移等服务。创新打造“互联网+”钒钛产业技术交易平台、钒钛产品创意工作室等平台，在科技服务业建设上取得突破。分级设立创新创业咨询服务平台，加强电子商务基础建设，开展基于互联网的创新创业综合服务。建立面向创新创业者的专利申请绿色通道，对小微企业申请发明专利进行资助。（牵头单位：市科知局。责任单位：各县区人民政府、钒钛高新区管委会、市商粮局、市经信委）</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五）强化财政资金引导。在攀枝花市产业引导股权投资基金下设立创新创业投资引导子基金，发挥财政资金杠杆作用，通过市场机制引导社会资金和金融资本支持创新创业，特别是钒钛新材料、节能环保、现代农业、特色生物等科技成果产业化项目。积极争取设立国家参股新兴产业创投基金等方式支持科技型中小企业发展。用好中小企业发展专项资金、服务业发展引导资金，运用风险补助和投资保障等方式，引导创业投资机构投资于科技型中小微企业。发挥财税政策作用，支持天使投资、创业投资发展，培育发展天使投资群体。在科技专项经费中，设立针对科技型中小微企业早期科技创新创业的苗圃专项，</w:t>
      </w:r>
      <w:r w:rsidRPr="00242E14">
        <w:rPr>
          <w:rFonts w:ascii="宋体" w:eastAsia="宋体" w:hAnsi="宋体" w:cs="宋体" w:hint="eastAsia"/>
          <w:color w:val="000000"/>
          <w:sz w:val="24"/>
          <w:szCs w:val="24"/>
        </w:rPr>
        <w:lastRenderedPageBreak/>
        <w:t>加大资金扶持力度。（牵头单位：市财政局。责任单位：市科知局、市发改委、市经信委、市商粮局、市国税局、市地税局）</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六）完善创新创业投融资机制。推进科技金融深度融合，制定落实《攀枝花市加快推进科技金融结合的实施意见》，推进知识产权金融服务，积极申报国家知识产权质押融资试点，建立健全知识产权金融服务政策体系，构建良好的专利投融资环境，加强质押物处置平台建设、融资新模式探索、投保模式优化等方面的研究和实践。大力宣传已有的低息融资政策，争取设立科技专营支行，为科技型中小微企业提供专项融资服务，打造有利于科技型中小企业的金融环境。（牵头单位：市科知局。责任单位：市金融办、攀枝花银监分局、人行攀枝花市中心支行）</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七）推进创新创业资源开放共享。优化我市创新创业平台布局，形成基础研究、应用研究、技术创新和成果转化协调发展体系，推动重点实验室、工程实验室、工程（技术）研究中心、科技基础条件平台等向全社会开放，建立兼顾各方利益的资源开放共享机制，为科技型中小微企业提供公共研发服务。（牵头单位：市科知局。责任单位：市发改委、市经信委、市质监局）</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八）打造系列创新创业活动品牌。举办攀枝花市青年创新创业创富大赛，开展创新创业者、企业家、投资人和专家学者共同参与的创新创业沙龙、创新创业大讲堂、创新创业训练营等活动，搭建创新创业展示和投融资对接平台。支持建立一批以创客咖啡吧、大学生创新创业俱乐部、大学生创业场、创业沙龙为代表的创业苗圃。把创新创业素质培养纳入国民教育体系，增加创新创业课程，丰富“攀枝花市青少年科技创新市长奖”、“青少年科技创新大赛”、“电脑机器人竞赛”等品牌活动，培养青少年科技创新的意识和能力。举办攀枝花钒钛资源综合利用院士行暨攀枝花钒钛论坛，全力打造高水平的论坛品牌，吸引海内外高层次人才来攀创新创业。（牵头单位：团市委、市科协、市科知局。责任单位：各县区政府、钒钛高新区管委会、市教体局、市人社局、市经信委、市商粮局、攀枝花学院、四川机电职业技术学院）</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三、支持政策</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九）下放科技成果使用、处置和收益权。对财政资金支持形成的，不涉及国防、国家安全、国家利益、重大社会公共利益的科技成果使用权、处置权和收益权，全部下放给符合条件的项目承担单位，赋予二类事业单位自主权。单位主管部门和财政部门对科技成果在境内使用、处置不再审批或备案，科技成果转移转化所得收入全部留归单位，纳入单位预算，实行统一管理，处置收入不上缴国库。（牵头单位：市财政局。责任单位：市科知局、市国资委）</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十）鼓励科技人员离岗创办企业。符合条件的在攀高校、科研院所科技人员经所在单位批准，可带科研项目和成果、保留基本待遇到在攀企业开展创新工作或在攀领办创办科技型企业，3年内可保留人事关系，工龄连续计算，薪级工资按规定正常晋升，保留其原聘专业技术岗位等级，不影响职称评定。单位建立相应管理办法，规范科技人员离岗期间和期满后的权利和义务。（牵头单位：市科知局。责任单位：市人社局、市委编办、市委组织部、攀枝花学院）</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十一）提高科研人员成果转化收益比例。在攀高校、科研院所科技人员（包括担任行政领导职务的科技人员）职务科技成果转化的收益，按至少70%的比例划归成果完成人及其团队所有。国有企业事业单位对职务发明完成人、科技成果转化重要贡献人员和团队的奖励，计入当年单位工资总额，不作为工</w:t>
      </w:r>
      <w:r w:rsidRPr="00242E14">
        <w:rPr>
          <w:rFonts w:ascii="宋体" w:eastAsia="宋体" w:hAnsi="宋体" w:cs="宋体" w:hint="eastAsia"/>
          <w:color w:val="000000"/>
          <w:sz w:val="24"/>
          <w:szCs w:val="24"/>
        </w:rPr>
        <w:lastRenderedPageBreak/>
        <w:t>资总额基数，不纳入绩效工资总额管理。（牵头单位：市人社局。责任单位：市财政局、市科知局、市委组织部、攀枝花学院）</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十二）允许科技人员兼职取酬。财政资金设立的高等学校、科研院所科技人员在完成岗位职责和聘用合同约定任务的前提下，依法经所在单位批准，可在攀兼职从事技术研发、产品开发、技术咨询、技术服务等成果转化活动，获取相应合法股权、薪资。（牵头单位：市人社局。责任单位：市科知局、市委组织部、攀枝花学院）</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十三）放宽科技计划项目经费使用范围。规范直接费用支出管理，提高间接费用比例，调整劳务费开支范围，允许将项目临时聘用人员的社会保险补助纳入劳务费科目中列支。间接费用中绩效支出不超过直接费用扣除设备购置费后的5%。项目在研期间，年度剩余资金按规定可以结转下一年度继续使用。项目完成研究任务，通过验收且承担单位信用评价好的，项目资金净结余在50%以内的按规定在一年内由单位统筹安排用于科研活动的直接支出，结余资金使用报主管部门和财政局备案；未通过验收和整改后通过验收的项目，或承担单位信用评价差的，结余资金全额按原渠道收回。对科研人员因公出国进行分类管理，放宽因公临时出国批次限量管理政策。所需差旅费如有不足，可在科研项目经费中会议费、国际合作与交流费两项支出中调剂安排，但不得突破三项支出预算总额。（牵头单位：市科知局。责任单位：市财政局、市外事侨务办）</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十四）鼓励大学生开展创新创业活动。在攀高校大学生可休学创业，休学年限按照高校相关规定执行。允许在攀在读大学生从事科技创新活动，创新实践可按照相关规定计入学分。（牵头单位：攀枝花学院、四川机电职业技术学院）</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十五）加大对大学生创新创业的补贴力度。对在校大学生和毕业5年内的高校毕业生，在工商部门注册或民政部门登记，以及其他依法设立、免于注册或登记的创业实体（如开办网店、农业职业经理人等），给予1万元创业补贴。在高校或地方各类创业园区（孵化基地）内孵化的创业项目，每个项目给予1万元补贴。同一领创主体有多个创业项目的，最高补贴可达到10万元。（牵头单位：市人社局。责任单位：市财政局）</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十六）加大对青年创新创业的扶持力度。组织实施“四川青年创业促进计划”，成立四川青年创业促进计划攀枝花办公室，向符合条件并通过评审的创业青年发放3～10万元免息、免担保的创业资金贷款，贷款周期为3年，并一对一匹配专家导师开展创业帮扶。科技型小微企业招收高校毕业生达到一定比例的，可申请不超过200万元的小额贷款，并享受财政贴息。加强银行业机构与团委合作，鼓励银行业机构创新设计“青年创业”贷款。落实小额担保贷款政策，加大对创业青年的金融支持力度。（牵头单位：团市委。责任单位：市人社局、人行攀枝花市中心支行、攀枝花银监分局）</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十七）加大孵化器建设支持力度加大孵化器建设支持力度。。在确保安全等相关要求且不改变科技企业孵化服务用途的前提下，可以利用工业用地建设科技企业孵化器，其载体房屋依据规划用途按幢、层等有固定界限的部分为基</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本单元进行产权登记并出租或转让。对重点建设的科技孵化器给予专项项目资金支持。（牵头单位：市科知局。责任单位：市国土资源局、市住建局、市财政局）</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lastRenderedPageBreak/>
        <w:t>（十八）大力支持专利实施转化。鼓励单位和个人依法采取专利入股、质押、转让、许可等方式促进专利实施获得收益。以专利权等依法可以转让的非货币财产作价入股的，在公司注册资本中所占比例不受限制。既未约定也未在单位规章制度中规定的情形下，国有企事业单位自行实施其发明专利的，在专利有效期内，每年给予全体职务发明人的报酬总额不低于实施该发明专利营业利润的5%；转让、许可他人实施专利或者以专利出资入股的，给予发明人或者设计人的报酬应不低于转让费、许可费或者出资比例的20%。（牵头单位：市科知局。责任单位：市工商局、市财政局）</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十九）大力支持科技成果转化。鼓励企业依法独立或与境内外企业、事业单位和其他合作者联合实施科技成果转化。企业可通过公平竞争，独立或与其他单位联合承担政府组织实施的科技研究开发和科技成果转化项目。建立对重点科研单位、高校实施科技成果转化的考核激励机制。建立科技成果信息资料库，面向全国，提供科技成果信息服务。（牵头单位：市科知局。责任单位：市发改委、市经信委）</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四、工作要求</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二十）加强组织领导。成立攀枝花市推进创新创业工作协调小组，建立联席会议制度，发挥统筹指导和督导落实作用。各县（区）、钒钛高新区要高度重视推进大众创新创业工作，结合实际制定具体实施方案，明确工作任务，切实加大资金投入、政策支持和条件保障力度。</w:t>
      </w:r>
    </w:p>
    <w:p w:rsidR="00242E14" w:rsidRPr="00242E14" w:rsidRDefault="00242E14" w:rsidP="00242E14">
      <w:pPr>
        <w:shd w:val="clear" w:color="auto" w:fill="FFFFFF"/>
        <w:adjustRightInd/>
        <w:snapToGrid/>
        <w:spacing w:after="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二十一）形成推进合力形成推进合力。。各县（区）、钒钛高新区、市级各部门不断完善落实本地、本领域创新创业政策措施。科技管理部门要加强与党政部门、群团组织的工作协调，做好创新创业政策落实情况调研、发展情况统计汇总等工作，及时向攀枝花市推进创新创业工作协调小组报告有关进展情况。</w:t>
      </w:r>
    </w:p>
    <w:p w:rsidR="00242E14" w:rsidRPr="00242E14" w:rsidRDefault="00242E14" w:rsidP="00242E14">
      <w:pPr>
        <w:shd w:val="clear" w:color="auto" w:fill="FFFFFF"/>
        <w:adjustRightInd/>
        <w:snapToGrid/>
        <w:spacing w:after="150" w:line="315" w:lineRule="atLeast"/>
        <w:ind w:firstLine="480"/>
        <w:rPr>
          <w:rFonts w:ascii="宋体" w:eastAsia="宋体" w:hAnsi="宋体" w:cs="宋体"/>
          <w:color w:val="000000"/>
          <w:sz w:val="24"/>
          <w:szCs w:val="24"/>
        </w:rPr>
      </w:pPr>
      <w:r w:rsidRPr="00242E14">
        <w:rPr>
          <w:rFonts w:ascii="宋体" w:eastAsia="宋体" w:hAnsi="宋体" w:cs="宋体" w:hint="eastAsia"/>
          <w:color w:val="000000"/>
          <w:sz w:val="24"/>
          <w:szCs w:val="24"/>
        </w:rPr>
        <w:t>（二十二）营造创新创业氛围营造创新创业氛围。。积极倡导敢为人先、宽容失败的创新文化，树立崇尚创新、创业致富的价值导向，大力培育创业精神和创客文化，将奇思妙想、创新创意转化为实实在在的创业活动。加强各类媒体对大众创新创业的新闻宣传和舆论引导，报道一批创新创业先进事迹，树立一批创新创业典型人物，让大众创业万众创新在全社会蔚然成风。</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242E14"/>
    <w:rsid w:val="00323B43"/>
    <w:rsid w:val="003D37D8"/>
    <w:rsid w:val="00426133"/>
    <w:rsid w:val="004358AB"/>
    <w:rsid w:val="00607A33"/>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242E14"/>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42E14"/>
    <w:rPr>
      <w:rFonts w:ascii="宋体" w:eastAsia="宋体" w:hAnsi="宋体" w:cs="宋体"/>
      <w:b/>
      <w:bCs/>
      <w:kern w:val="36"/>
      <w:sz w:val="48"/>
      <w:szCs w:val="48"/>
    </w:rPr>
  </w:style>
  <w:style w:type="character" w:styleId="a3">
    <w:name w:val="Emphasis"/>
    <w:basedOn w:val="a0"/>
    <w:uiPriority w:val="20"/>
    <w:qFormat/>
    <w:rsid w:val="00242E14"/>
    <w:rPr>
      <w:i/>
      <w:iCs/>
    </w:rPr>
  </w:style>
  <w:style w:type="character" w:customStyle="1" w:styleId="apple-converted-space">
    <w:name w:val="apple-converted-space"/>
    <w:basedOn w:val="a0"/>
    <w:rsid w:val="00242E14"/>
  </w:style>
  <w:style w:type="character" w:customStyle="1" w:styleId="big">
    <w:name w:val="big"/>
    <w:basedOn w:val="a0"/>
    <w:rsid w:val="00242E14"/>
  </w:style>
  <w:style w:type="character" w:customStyle="1" w:styleId="middle">
    <w:name w:val="middle"/>
    <w:basedOn w:val="a0"/>
    <w:rsid w:val="00242E14"/>
  </w:style>
  <w:style w:type="character" w:customStyle="1" w:styleId="small">
    <w:name w:val="small"/>
    <w:basedOn w:val="a0"/>
    <w:rsid w:val="00242E14"/>
  </w:style>
</w:styles>
</file>

<file path=word/webSettings.xml><?xml version="1.0" encoding="utf-8"?>
<w:webSettings xmlns:r="http://schemas.openxmlformats.org/officeDocument/2006/relationships" xmlns:w="http://schemas.openxmlformats.org/wordprocessingml/2006/main">
  <w:divs>
    <w:div w:id="1981112337">
      <w:bodyDiv w:val="1"/>
      <w:marLeft w:val="0"/>
      <w:marRight w:val="0"/>
      <w:marTop w:val="0"/>
      <w:marBottom w:val="0"/>
      <w:divBdr>
        <w:top w:val="none" w:sz="0" w:space="0" w:color="auto"/>
        <w:left w:val="none" w:sz="0" w:space="0" w:color="auto"/>
        <w:bottom w:val="none" w:sz="0" w:space="0" w:color="auto"/>
        <w:right w:val="none" w:sz="0" w:space="0" w:color="auto"/>
      </w:divBdr>
      <w:divsChild>
        <w:div w:id="95540618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2018-05-23T13:35:00Z</dcterms:modified>
</cp:coreProperties>
</file>