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A3E" w:rsidRPr="00B85A3E" w:rsidRDefault="00B85A3E" w:rsidP="00B85A3E">
      <w:pPr>
        <w:widowControl/>
        <w:pBdr>
          <w:bottom w:val="dashed" w:sz="6" w:space="8" w:color="C1C1C1"/>
        </w:pBdr>
        <w:shd w:val="clear" w:color="auto" w:fill="FFFFFF"/>
        <w:spacing w:after="150" w:line="420" w:lineRule="atLeast"/>
        <w:jc w:val="center"/>
        <w:outlineLvl w:val="1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bookmarkStart w:id="0" w:name="_GoBack"/>
      <w:r w:rsidRPr="00B85A3E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关于印发《铁山区产业发展引导资金使用管理办法》的通</w:t>
      </w:r>
      <w:r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知</w:t>
      </w:r>
      <w:r w:rsidRPr="00B85A3E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</w:p>
    <w:bookmarkEnd w:id="0"/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铁党政办发〔2017〕7号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44"/>
          <w:szCs w:val="44"/>
        </w:rPr>
        <w:t>铁山区党政办公室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44"/>
          <w:szCs w:val="44"/>
        </w:rPr>
        <w:t>关于印发《铁山区产业发展引导资金使用管理办法</w:t>
      </w:r>
      <w:proofErr w:type="gramStart"/>
      <w:r w:rsidRPr="00B85A3E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44"/>
          <w:szCs w:val="44"/>
        </w:rPr>
        <w:t>》</w:t>
      </w:r>
      <w:proofErr w:type="gramEnd"/>
      <w:r w:rsidRPr="00B85A3E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44"/>
          <w:szCs w:val="44"/>
        </w:rPr>
        <w:t>的通知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44"/>
          <w:szCs w:val="44"/>
        </w:rPr>
        <w:t> 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44"/>
          <w:szCs w:val="44"/>
        </w:rPr>
        <w:t> 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各党委（组）、党工委、党总支、区直机关各部门、各人民团体、各企事业单位、各社区：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经区委、区政府研究同意，现将《铁山区产业发展引导资金使用管理办法》印发给你们，请结合实际认真贯彻落实。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620" w:lineRule="atLeast"/>
        <w:ind w:firstLine="51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lastRenderedPageBreak/>
        <w:t>                  </w:t>
      </w:r>
      <w:r w:rsidRPr="00B85A3E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 xml:space="preserve"> 铁山区党政办公室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                                          </w:t>
      </w:r>
      <w:r w:rsidRPr="00B85A3E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B85A3E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    </w:t>
      </w:r>
      <w:r w:rsidRPr="00B85A3E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2017年2月4日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 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44"/>
          <w:szCs w:val="44"/>
        </w:rPr>
        <w:t>铁山区产业发展引导资金使用管理办法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</w:t>
      </w: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为加快新常态下产业招商和项目建设工作步伐，提高招商引资和项目建设工作实效，促进铁山区经济持续健康快速发展，结合我区产业发展方向和区情实际，特制定本办法。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一、指导思想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转变发展方式为主线，以提高质量和效益为中心，以培育特色产业集群为方向，按照“突出重点、程序规范、注重绩效、撬动投资”的总体要求，充分发挥财政资金杠杆作用，扶持、培育和壮大一批符合产业发展方向、具有核心竞争力的产业集群，为全区经济又好又快发展提供强有力的支撑和保障。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Calibri" w:eastAsia="黑体" w:hAnsi="Calibri" w:cs="Calibri"/>
          <w:color w:val="000000"/>
          <w:kern w:val="0"/>
          <w:sz w:val="32"/>
          <w:szCs w:val="32"/>
        </w:rPr>
        <w:lastRenderedPageBreak/>
        <w:t>    </w:t>
      </w:r>
      <w:r w:rsidRPr="00B85A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二、使用范围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引导资金主要投向固定资产投资超过5000万元（含）以上的工业项目和固定资产投资额达到3000万元（含）以上的物流项目。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三、支持条件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申请使用引导资金的单位和项目应符合以下条件：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（一）项目承担主体必须是区内注册的独立企业法人的已建成项目（政府投资项目除外），项目建设手续齐全。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（二）符合铁山区产业发展方向，项目通过环评、安评、消防等验收环节。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（三）企业运转良好</w:t>
      </w:r>
      <w:r w:rsidRPr="00B85A3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，</w:t>
      </w: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具有良好的信用，无失信记录。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四、支持标准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Calibri" w:eastAsia="楷体" w:hAnsi="Calibri" w:cs="Calibri"/>
          <w:b/>
          <w:bCs/>
          <w:color w:val="000000"/>
          <w:kern w:val="0"/>
          <w:sz w:val="32"/>
          <w:szCs w:val="32"/>
        </w:rPr>
        <w:t>   </w:t>
      </w:r>
      <w:r w:rsidRPr="00B85A3E"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（一）工业支持标准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1.固定资产投资5000万元以上、5亿元以下的项目，按固定资产总投资额（以审计数据为准）的6%给予扶持资金。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    </w:t>
      </w: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2.对固定资产投资5亿元（含）以上或对铁</w:t>
      </w:r>
      <w:proofErr w:type="gramStart"/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山产业</w:t>
      </w:r>
      <w:proofErr w:type="gramEnd"/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发展有重大意义的项目，可采取“一事一议”的方式给予相应扶持。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</w:t>
      </w: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对于有技术、有前景、有信用保证但启动资金不足的项目，可由区城投公司与投资方公司合作成立项目公司，区城投公司代表政府以土地使用权入股的形式持有企业一定股份，并约定投资规模、建设周期、预期产出和退出办法等。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Calibri" w:eastAsia="楷体" w:hAnsi="Calibri" w:cs="Calibri"/>
          <w:b/>
          <w:bCs/>
          <w:color w:val="000000"/>
          <w:kern w:val="0"/>
          <w:sz w:val="32"/>
          <w:szCs w:val="32"/>
        </w:rPr>
        <w:t>   </w:t>
      </w:r>
      <w:r w:rsidRPr="00B85A3E"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（二）现代物流</w:t>
      </w:r>
      <w:proofErr w:type="gramStart"/>
      <w:r w:rsidRPr="00B85A3E"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业支持</w:t>
      </w:r>
      <w:proofErr w:type="gramEnd"/>
      <w:r w:rsidRPr="00B85A3E"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标准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ind w:firstLine="636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对符合相关条件的新办现代物流企业且项目固定资产投资额达到3000万元（含）以上的，按固定资产总投资额（以审计数据为准）的5%给予扶持资金。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Calibri" w:eastAsia="黑体" w:hAnsi="Calibri" w:cs="Calibri"/>
          <w:color w:val="000000"/>
          <w:kern w:val="0"/>
          <w:sz w:val="32"/>
          <w:szCs w:val="32"/>
        </w:rPr>
        <w:t>    </w:t>
      </w:r>
      <w:r w:rsidRPr="00B85A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五、项目评审和资金发放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企业提出申请后，由区招商引资工作指挥部办公室牵头，区经信局、区财政局、区审计局、区环保局、区安监局、区规划分局、区国土分局、区国税分局、区地税分局等有关部门组成项目评审小组对项目进行评审，提出</w:t>
      </w:r>
      <w:proofErr w:type="gramStart"/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拟支持</w:t>
      </w:r>
      <w:proofErr w:type="gramEnd"/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项目名单，</w:t>
      </w:r>
      <w:proofErr w:type="gramStart"/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报铁山区</w:t>
      </w:r>
      <w:proofErr w:type="gramEnd"/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招商引资工作指挥部审定，并在一定范围内公示。公示结束后，铁山区招商引资工作指挥部办公室会同相关部门，提出引导资金发放的额度和进度建</w:t>
      </w: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议，报经区政府审定后批复下达，区财政局根据财政支付管理的有关规定及时拨付资金，并接受人大监督。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六、附 则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（一）对区内企业扩</w:t>
      </w:r>
      <w:proofErr w:type="gramStart"/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规</w:t>
      </w:r>
      <w:proofErr w:type="gramEnd"/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或新建项目，参照本办法执行。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（二）为便于实际操作，区政府将制定本办法实施细则，并按相关程序备案。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after="150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（三）本办法由铁山区招商引资工作指挥部办公室负责解释。</w:t>
      </w:r>
    </w:p>
    <w:p w:rsidR="00B85A3E" w:rsidRPr="00B85A3E" w:rsidRDefault="00B85A3E" w:rsidP="00B85A3E">
      <w:pPr>
        <w:widowControl/>
        <w:shd w:val="clear" w:color="auto" w:fill="FFFFFF"/>
        <w:spacing w:before="100" w:beforeAutospacing="1"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</w:t>
      </w:r>
      <w:r w:rsidRPr="00B85A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（四）本办法自印发之日起施行。</w:t>
      </w:r>
    </w:p>
    <w:p w:rsidR="001846FF" w:rsidRDefault="00B85A3E"/>
    <w:sectPr w:rsidR="0018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22"/>
    <w:rsid w:val="00A35C72"/>
    <w:rsid w:val="00B85A3E"/>
    <w:rsid w:val="00C20622"/>
    <w:rsid w:val="00C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8EFDF-216C-4076-8149-74B1FCA7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7213">
                  <w:marLeft w:val="0"/>
                  <w:marRight w:val="0"/>
                  <w:marTop w:val="0"/>
                  <w:marBottom w:val="150"/>
                  <w:divBdr>
                    <w:top w:val="single" w:sz="6" w:space="8" w:color="DCDCDC"/>
                    <w:left w:val="single" w:sz="6" w:space="15" w:color="DCDCDC"/>
                    <w:bottom w:val="single" w:sz="6" w:space="8" w:color="DCDCDC"/>
                    <w:right w:val="single" w:sz="6" w:space="15" w:color="DCDCDC"/>
                  </w:divBdr>
                  <w:divsChild>
                    <w:div w:id="159397815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2018-05-24T08:49:00Z</dcterms:created>
  <dcterms:modified xsi:type="dcterms:W3CDTF">2018-05-24T08:49:00Z</dcterms:modified>
</cp:coreProperties>
</file>