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4B0" w:rsidRDefault="002234B0" w:rsidP="002234B0">
      <w:pPr>
        <w:pStyle w:val="1"/>
        <w:spacing w:before="0" w:beforeAutospacing="0" w:after="0" w:afterAutospacing="0" w:line="420" w:lineRule="atLeast"/>
        <w:jc w:val="center"/>
        <w:rPr>
          <w:rFonts w:ascii="微软雅黑" w:eastAsia="微软雅黑" w:hAnsi="微软雅黑"/>
          <w:b w:val="0"/>
          <w:bCs w:val="0"/>
          <w:color w:val="FF5101"/>
          <w:sz w:val="33"/>
          <w:szCs w:val="33"/>
        </w:rPr>
      </w:pPr>
      <w:r>
        <w:rPr>
          <w:rFonts w:ascii="微软雅黑" w:eastAsia="微软雅黑" w:hAnsi="微软雅黑" w:hint="eastAsia"/>
          <w:b w:val="0"/>
          <w:bCs w:val="0"/>
          <w:color w:val="FF5101"/>
          <w:sz w:val="33"/>
          <w:szCs w:val="33"/>
        </w:rPr>
        <w:t>广州市天河区发展和改革局关于开展2018年天河区产业发展专项资金支持文化创意产业发展项目申报工作的通知</w:t>
      </w:r>
    </w:p>
    <w:p w:rsidR="002234B0" w:rsidRDefault="002234B0" w:rsidP="002234B0">
      <w:pPr>
        <w:jc w:val="center"/>
        <w:rPr>
          <w:rFonts w:ascii="微软雅黑" w:eastAsia="微软雅黑" w:hAnsi="微软雅黑" w:hint="eastAsia"/>
          <w:color w:val="999999"/>
          <w:szCs w:val="21"/>
        </w:rPr>
      </w:pPr>
      <w:r>
        <w:rPr>
          <w:rFonts w:ascii="微软雅黑" w:eastAsia="微软雅黑" w:hAnsi="微软雅黑" w:hint="eastAsia"/>
          <w:color w:val="999999"/>
          <w:szCs w:val="21"/>
        </w:rPr>
        <w:t>发表时间：2018-04-03    信息来源：区发改局 </w:t>
      </w:r>
      <w:r>
        <w:rPr>
          <w:rStyle w:val="djs"/>
          <w:rFonts w:ascii="微软雅黑" w:eastAsia="微软雅黑" w:hAnsi="微软雅黑" w:hint="eastAsia"/>
          <w:color w:val="999999"/>
          <w:szCs w:val="21"/>
        </w:rPr>
        <w:t>浏览量：4111</w:t>
      </w:r>
    </w:p>
    <w:p w:rsidR="002234B0" w:rsidRDefault="002234B0" w:rsidP="002234B0">
      <w:pPr>
        <w:jc w:val="center"/>
        <w:rPr>
          <w:rFonts w:ascii="微软雅黑" w:eastAsia="微软雅黑" w:hAnsi="微软雅黑" w:hint="eastAsia"/>
          <w:color w:val="999999"/>
          <w:szCs w:val="21"/>
        </w:rPr>
      </w:pPr>
      <w:r>
        <w:rPr>
          <w:rFonts w:ascii="微软雅黑" w:eastAsia="微软雅黑" w:hAnsi="微软雅黑" w:hint="eastAsia"/>
          <w:b/>
          <w:bCs/>
          <w:color w:val="CCCCCC"/>
          <w:sz w:val="27"/>
          <w:szCs w:val="27"/>
        </w:rPr>
        <w:t>A</w:t>
      </w:r>
      <w:r>
        <w:rPr>
          <w:rFonts w:ascii="微软雅黑" w:eastAsia="微软雅黑" w:hAnsi="微软雅黑" w:hint="eastAsia"/>
          <w:b/>
          <w:bCs/>
          <w:color w:val="CCCCCC"/>
          <w:sz w:val="27"/>
          <w:szCs w:val="27"/>
          <w:vertAlign w:val="superscript"/>
        </w:rPr>
        <w:t>+</w:t>
      </w:r>
      <w:r>
        <w:rPr>
          <w:rFonts w:ascii="微软雅黑" w:eastAsia="微软雅黑" w:hAnsi="微软雅黑" w:hint="eastAsia"/>
          <w:color w:val="999999"/>
        </w:rPr>
        <w:t>大</w:t>
      </w:r>
      <w:r>
        <w:rPr>
          <w:rFonts w:ascii="微软雅黑" w:eastAsia="微软雅黑" w:hAnsi="微软雅黑" w:hint="eastAsia"/>
          <w:color w:val="999999"/>
          <w:szCs w:val="21"/>
        </w:rPr>
        <w:t> </w:t>
      </w:r>
      <w:r>
        <w:rPr>
          <w:rFonts w:ascii="微软雅黑" w:eastAsia="微软雅黑" w:hAnsi="微软雅黑" w:hint="eastAsia"/>
          <w:b/>
          <w:bCs/>
          <w:color w:val="CCCCCC"/>
          <w:sz w:val="27"/>
          <w:szCs w:val="27"/>
        </w:rPr>
        <w:t>A</w:t>
      </w:r>
      <w:r>
        <w:rPr>
          <w:rFonts w:ascii="微软雅黑" w:eastAsia="微软雅黑" w:hAnsi="微软雅黑" w:hint="eastAsia"/>
          <w:b/>
          <w:bCs/>
          <w:color w:val="CCCCCC"/>
          <w:sz w:val="27"/>
          <w:szCs w:val="27"/>
          <w:vertAlign w:val="superscript"/>
        </w:rPr>
        <w:t>+</w:t>
      </w:r>
      <w:r>
        <w:rPr>
          <w:rFonts w:ascii="微软雅黑" w:eastAsia="微软雅黑" w:hAnsi="微软雅黑" w:hint="eastAsia"/>
          <w:color w:val="999999"/>
        </w:rPr>
        <w:t>中</w:t>
      </w:r>
      <w:r>
        <w:rPr>
          <w:rFonts w:ascii="微软雅黑" w:eastAsia="微软雅黑" w:hAnsi="微软雅黑" w:hint="eastAsia"/>
          <w:color w:val="999999"/>
          <w:szCs w:val="21"/>
        </w:rPr>
        <w:t> </w:t>
      </w:r>
      <w:r>
        <w:rPr>
          <w:rFonts w:ascii="微软雅黑" w:eastAsia="微软雅黑" w:hAnsi="微软雅黑" w:hint="eastAsia"/>
          <w:b/>
          <w:bCs/>
          <w:color w:val="CCCCCC"/>
          <w:sz w:val="27"/>
          <w:szCs w:val="27"/>
        </w:rPr>
        <w:t>A</w:t>
      </w:r>
      <w:r>
        <w:rPr>
          <w:rFonts w:ascii="微软雅黑" w:eastAsia="微软雅黑" w:hAnsi="微软雅黑" w:hint="eastAsia"/>
          <w:b/>
          <w:bCs/>
          <w:color w:val="CCCCCC"/>
          <w:sz w:val="27"/>
          <w:szCs w:val="27"/>
          <w:vertAlign w:val="superscript"/>
        </w:rPr>
        <w:t>+</w:t>
      </w:r>
      <w:r>
        <w:rPr>
          <w:rFonts w:ascii="微软雅黑" w:eastAsia="微软雅黑" w:hAnsi="微软雅黑" w:hint="eastAsia"/>
          <w:color w:val="999999"/>
          <w:szCs w:val="21"/>
        </w:rPr>
        <w:t>小</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各相关单位：</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为促进我区文化创意产业加快发展，深入推动我区产业结构调整和经济发展方式转变，根据《关于进一步优化产业发展环境促进经济发展的若干措施》（穗天字〔2017〕7号）、《广州市天河区产业发展专项资金管理办法》（穗天财规〔2017〕2号）的有关规定，现决定开展2018年天河区专项资金支持文化创意产业发展的项目申报工作。现就有关事项通知如下：</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一、申报政策及类别</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《广州市天河区产业发展专项资金支持文化创意产业发展实施办法》（穗天发改规〔2017〕1号），主要包括类别如下:</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（一）第五条第（二）款办公用房租金补贴支持；</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（二）第六条第（一）款文创园区认定支持、第（三）款文创园区提升支持；</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（三）第八条内容原创支持；</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（四）第十条文创交流活动支持；</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（五）第十一条资金配套支持。</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lastRenderedPageBreak/>
        <w:t>政策其余条款所涉及的申报时间和程序、支持条件和标准等参照相关办法及操作指引执行。</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二、申报受理时间</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2018年4月3日——5月15日</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三、支持对象</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政策支持对象是在广州市天河区内注册登记、依法纳税、依法统计，具有独立法人资格的文化创意产业领域企事业单位和文化创意园区。</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四、限制情形</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（一）同一支持对象原则上不得就同一事项重复申请支持。</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（二）支持对象同一项目已获区政府其它专项资金支持的，本产业资金不再支持。</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五、申报流程</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（一）申报单位可同时登录“天河区门户网站”内的“产业扶持政策”栏目（</w:t>
      </w:r>
      <w:hyperlink r:id="rId7" w:history="1">
        <w:r>
          <w:rPr>
            <w:rStyle w:val="a7"/>
            <w:rFonts w:hint="eastAsia"/>
            <w:color w:val="333333"/>
          </w:rPr>
          <w:t>http://www.thnet.gov.cn/cyfc/index.shtml</w:t>
        </w:r>
      </w:hyperlink>
      <w:r>
        <w:rPr>
          <w:rFonts w:hint="eastAsia"/>
          <w:color w:val="333333"/>
        </w:rPr>
        <w:t>）查看政策原文、一图读懂以及申报指南说明等信息。</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（二）网上提交申报材料。请登陆“天河区产业政策综合服务平台”（</w:t>
      </w:r>
      <w:hyperlink r:id="rId8" w:history="1">
        <w:r>
          <w:rPr>
            <w:rStyle w:val="a7"/>
            <w:rFonts w:hint="eastAsia"/>
            <w:color w:val="333333"/>
          </w:rPr>
          <w:t>http://113.108.173.240/th_cyzc/minstone/home/toHomeForm</w:t>
        </w:r>
      </w:hyperlink>
      <w:r>
        <w:rPr>
          <w:rFonts w:hint="eastAsia"/>
          <w:color w:val="333333"/>
        </w:rPr>
        <w:t>）进行注册登记。</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注册成功后点击“进入工作台”，点击选择所报“可申报项目”和“申报”，线上填写“企业申请表”，点击“企业上传材料”并按要求上传附件，</w:t>
      </w:r>
      <w:r>
        <w:rPr>
          <w:rFonts w:hint="eastAsia"/>
          <w:color w:val="333333"/>
        </w:rPr>
        <w:lastRenderedPageBreak/>
        <w:t>完成后分别点击“提交受理”。工作人员将对提交的材料进行程序性初审（一般需3-5个工作日），请在平台上及时查看反馈结果，及时按要求更改或补齐资料。</w:t>
      </w:r>
    </w:p>
    <w:p w:rsidR="002234B0" w:rsidRDefault="002234B0" w:rsidP="002234B0">
      <w:pPr>
        <w:pStyle w:val="a5"/>
        <w:spacing w:before="120" w:beforeAutospacing="0" w:after="120" w:afterAutospacing="0" w:line="480" w:lineRule="auto"/>
        <w:ind w:firstLine="480"/>
        <w:jc w:val="both"/>
        <w:rPr>
          <w:rFonts w:hint="eastAsia"/>
          <w:color w:val="333333"/>
        </w:rPr>
      </w:pPr>
      <w:r>
        <w:rPr>
          <w:rFonts w:hint="eastAsia"/>
          <w:color w:val="333333"/>
        </w:rPr>
        <w:t>（三）网上程序性初审通过后，工作人员将联系申报单位的联系人，申报单位须按照网上申报材料相应编制纸质材料一份（平台可下载已经填写的资料），所有纸质材料加盖申请单位公章，证照复印件须加盖印章或写明“与原件相符”，将纸质材料送至受理部门，完成申报。</w:t>
      </w:r>
    </w:p>
    <w:p w:rsidR="002234B0" w:rsidRDefault="002234B0" w:rsidP="002234B0">
      <w:pPr>
        <w:pStyle w:val="a5"/>
        <w:spacing w:before="120" w:beforeAutospacing="0" w:after="120" w:afterAutospacing="0" w:line="480" w:lineRule="auto"/>
        <w:ind w:firstLine="480"/>
        <w:jc w:val="both"/>
        <w:rPr>
          <w:rFonts w:hint="eastAsia"/>
          <w:color w:val="333333"/>
        </w:rPr>
      </w:pPr>
      <w:r>
        <w:rPr>
          <w:rFonts w:hint="eastAsia"/>
          <w:color w:val="333333"/>
        </w:rPr>
        <w:t>六、政策受理部门及联系方式</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天河区发展和改革局规划发展科，联系方式：38622710、38622547</w:t>
      </w:r>
    </w:p>
    <w:p w:rsidR="002234B0" w:rsidRDefault="002234B0" w:rsidP="002234B0">
      <w:pPr>
        <w:pStyle w:val="a5"/>
        <w:spacing w:before="120" w:beforeAutospacing="0" w:after="120" w:afterAutospacing="0" w:line="480" w:lineRule="auto"/>
        <w:ind w:firstLine="480"/>
        <w:rPr>
          <w:rFonts w:hint="eastAsia"/>
          <w:color w:val="333333"/>
        </w:rPr>
      </w:pPr>
      <w:r>
        <w:rPr>
          <w:rFonts w:hint="eastAsia"/>
          <w:color w:val="333333"/>
        </w:rPr>
        <w:t>特此通知。</w:t>
      </w:r>
    </w:p>
    <w:p w:rsidR="002234B0" w:rsidRDefault="002234B0" w:rsidP="002234B0">
      <w:pPr>
        <w:pStyle w:val="a5"/>
        <w:spacing w:before="120" w:beforeAutospacing="0" w:after="120" w:afterAutospacing="0" w:line="480" w:lineRule="auto"/>
        <w:ind w:left="264" w:firstLine="480"/>
        <w:rPr>
          <w:rFonts w:hint="eastAsia"/>
          <w:color w:val="333333"/>
        </w:rPr>
      </w:pPr>
      <w:r>
        <w:rPr>
          <w:rFonts w:hint="eastAsia"/>
          <w:color w:val="333333"/>
        </w:rPr>
        <w:t>附件：</w:t>
      </w:r>
      <w:r>
        <w:rPr>
          <w:noProof/>
          <w:color w:val="333333"/>
        </w:rPr>
        <w:drawing>
          <wp:inline distT="0" distB="0" distL="0" distR="0">
            <wp:extent cx="152400" cy="152400"/>
            <wp:effectExtent l="0" t="0" r="0" b="0"/>
            <wp:docPr id="3" name="图片 3" descr="http://www.thnet.gov.cn/website-webapp/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net.gov.cn/website-webapp/ewebeditor/sysimage/icon16/do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gtFrame="_blank" w:history="1">
        <w:r>
          <w:rPr>
            <w:rStyle w:val="a7"/>
            <w:rFonts w:hint="eastAsia"/>
            <w:color w:val="333333"/>
          </w:rPr>
          <w:t>1.天河区产业发展专项资金支持文化创意产业发展实施办法申报指南.docx</w:t>
        </w:r>
      </w:hyperlink>
    </w:p>
    <w:p w:rsidR="002234B0" w:rsidRDefault="002234B0" w:rsidP="002234B0">
      <w:pPr>
        <w:pStyle w:val="a5"/>
        <w:spacing w:before="120" w:beforeAutospacing="0" w:after="120" w:afterAutospacing="0" w:line="480" w:lineRule="auto"/>
        <w:ind w:left="264" w:firstLine="480"/>
        <w:rPr>
          <w:rFonts w:hint="eastAsia"/>
          <w:color w:val="333333"/>
        </w:rPr>
      </w:pPr>
      <w:r>
        <w:rPr>
          <w:noProof/>
          <w:color w:val="333333"/>
        </w:rPr>
        <w:drawing>
          <wp:inline distT="0" distB="0" distL="0" distR="0">
            <wp:extent cx="152400" cy="152400"/>
            <wp:effectExtent l="0" t="0" r="0" b="0"/>
            <wp:docPr id="2" name="图片 2" descr="http://www.thnet.gov.cn/website-webapp/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net.gov.cn/website-webapp/ewebeditor/sysimage/icon16/do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gtFrame="_blank" w:history="1">
        <w:r>
          <w:rPr>
            <w:rStyle w:val="a7"/>
            <w:rFonts w:hint="eastAsia"/>
            <w:color w:val="333333"/>
          </w:rPr>
          <w:t>2.天河区产业发展专项资金支持文化创意产业发展项目申请表.docx</w:t>
        </w:r>
      </w:hyperlink>
    </w:p>
    <w:p w:rsidR="002234B0" w:rsidRDefault="002234B0" w:rsidP="002234B0">
      <w:pPr>
        <w:pStyle w:val="a5"/>
        <w:spacing w:before="120" w:beforeAutospacing="0" w:after="120" w:afterAutospacing="0" w:line="480" w:lineRule="auto"/>
        <w:ind w:left="264" w:firstLine="480"/>
        <w:rPr>
          <w:rFonts w:hint="eastAsia"/>
          <w:color w:val="333333"/>
        </w:rPr>
      </w:pPr>
      <w:r>
        <w:rPr>
          <w:noProof/>
          <w:color w:val="333333"/>
        </w:rPr>
        <w:drawing>
          <wp:inline distT="0" distB="0" distL="0" distR="0">
            <wp:extent cx="152400" cy="152400"/>
            <wp:effectExtent l="0" t="0" r="0" b="0"/>
            <wp:docPr id="1" name="图片 1" descr="http://www.thnet.gov.cn/website-webapp/ewebeditor/sysimage/icon16/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net.gov.cn/website-webapp/ewebeditor/sysimage/icon16/pdf.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tgtFrame="_blank" w:history="1">
        <w:r>
          <w:rPr>
            <w:rStyle w:val="a7"/>
            <w:rFonts w:hint="eastAsia"/>
            <w:color w:val="333333"/>
          </w:rPr>
          <w:t>3.广州市天河区发展和改革局关于印发广州市天河区产业发展专项资金支持文化创</w:t>
        </w:r>
      </w:hyperlink>
      <w:hyperlink r:id="rId14" w:tgtFrame="_blank" w:history="1">
        <w:r>
          <w:rPr>
            <w:rStyle w:val="a7"/>
            <w:rFonts w:hint="eastAsia"/>
            <w:color w:val="333333"/>
          </w:rPr>
          <w:t>意产业发展实施办法的通知.pdf</w:t>
        </w:r>
      </w:hyperlink>
    </w:p>
    <w:p w:rsidR="00C445C8" w:rsidRPr="00960E94" w:rsidRDefault="00C445C8">
      <w:pPr>
        <w:rPr>
          <w:rFonts w:hint="eastAsia"/>
        </w:rPr>
      </w:pPr>
      <w:bookmarkStart w:id="0" w:name="_GoBack"/>
      <w:bookmarkEnd w:id="0"/>
    </w:p>
    <w:sectPr w:rsidR="00C445C8" w:rsidRPr="00960E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4E2" w:rsidRDefault="00DC14E2" w:rsidP="00960E94">
      <w:r>
        <w:separator/>
      </w:r>
    </w:p>
  </w:endnote>
  <w:endnote w:type="continuationSeparator" w:id="0">
    <w:p w:rsidR="00DC14E2" w:rsidRDefault="00DC14E2" w:rsidP="0096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4E2" w:rsidRDefault="00DC14E2" w:rsidP="00960E94">
      <w:r>
        <w:separator/>
      </w:r>
    </w:p>
  </w:footnote>
  <w:footnote w:type="continuationSeparator" w:id="0">
    <w:p w:rsidR="00DC14E2" w:rsidRDefault="00DC14E2" w:rsidP="00960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E10D1"/>
    <w:multiLevelType w:val="multilevel"/>
    <w:tmpl w:val="8738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D3EDF"/>
    <w:multiLevelType w:val="multilevel"/>
    <w:tmpl w:val="7328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94835"/>
    <w:multiLevelType w:val="multilevel"/>
    <w:tmpl w:val="CA1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596C62"/>
    <w:multiLevelType w:val="multilevel"/>
    <w:tmpl w:val="8042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4A"/>
    <w:rsid w:val="0021775B"/>
    <w:rsid w:val="002234B0"/>
    <w:rsid w:val="0024064D"/>
    <w:rsid w:val="00406653"/>
    <w:rsid w:val="00960E94"/>
    <w:rsid w:val="00992FC1"/>
    <w:rsid w:val="00A67DD1"/>
    <w:rsid w:val="00C445C8"/>
    <w:rsid w:val="00DB694A"/>
    <w:rsid w:val="00DC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608A0D-3600-46AE-9A5E-C780DD09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92FC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0E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0E94"/>
    <w:rPr>
      <w:sz w:val="18"/>
      <w:szCs w:val="18"/>
    </w:rPr>
  </w:style>
  <w:style w:type="paragraph" w:styleId="a4">
    <w:name w:val="footer"/>
    <w:basedOn w:val="a"/>
    <w:link w:val="Char0"/>
    <w:uiPriority w:val="99"/>
    <w:unhideWhenUsed/>
    <w:rsid w:val="00960E94"/>
    <w:pPr>
      <w:tabs>
        <w:tab w:val="center" w:pos="4153"/>
        <w:tab w:val="right" w:pos="8306"/>
      </w:tabs>
      <w:snapToGrid w:val="0"/>
      <w:jc w:val="left"/>
    </w:pPr>
    <w:rPr>
      <w:sz w:val="18"/>
      <w:szCs w:val="18"/>
    </w:rPr>
  </w:style>
  <w:style w:type="character" w:customStyle="1" w:styleId="Char0">
    <w:name w:val="页脚 Char"/>
    <w:basedOn w:val="a0"/>
    <w:link w:val="a4"/>
    <w:uiPriority w:val="99"/>
    <w:rsid w:val="00960E94"/>
    <w:rPr>
      <w:sz w:val="18"/>
      <w:szCs w:val="18"/>
    </w:rPr>
  </w:style>
  <w:style w:type="paragraph" w:styleId="a5">
    <w:name w:val="Normal (Web)"/>
    <w:basedOn w:val="a"/>
    <w:uiPriority w:val="99"/>
    <w:semiHidden/>
    <w:unhideWhenUsed/>
    <w:rsid w:val="00960E9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60E94"/>
    <w:rPr>
      <w:b/>
      <w:bCs/>
    </w:rPr>
  </w:style>
  <w:style w:type="character" w:styleId="a7">
    <w:name w:val="Hyperlink"/>
    <w:basedOn w:val="a0"/>
    <w:uiPriority w:val="99"/>
    <w:semiHidden/>
    <w:unhideWhenUsed/>
    <w:rsid w:val="00960E94"/>
    <w:rPr>
      <w:color w:val="0000FF"/>
      <w:u w:val="single"/>
    </w:rPr>
  </w:style>
  <w:style w:type="character" w:customStyle="1" w:styleId="1Char">
    <w:name w:val="标题 1 Char"/>
    <w:basedOn w:val="a0"/>
    <w:link w:val="1"/>
    <w:uiPriority w:val="9"/>
    <w:rsid w:val="00992FC1"/>
    <w:rPr>
      <w:rFonts w:ascii="宋体" w:eastAsia="宋体" w:hAnsi="宋体" w:cs="宋体"/>
      <w:b/>
      <w:bCs/>
      <w:kern w:val="36"/>
      <w:sz w:val="48"/>
      <w:szCs w:val="48"/>
    </w:rPr>
  </w:style>
  <w:style w:type="character" w:customStyle="1" w:styleId="nums">
    <w:name w:val="nums"/>
    <w:basedOn w:val="a0"/>
    <w:rsid w:val="00992FC1"/>
  </w:style>
  <w:style w:type="character" w:customStyle="1" w:styleId="view">
    <w:name w:val="view"/>
    <w:basedOn w:val="a0"/>
    <w:rsid w:val="00992FC1"/>
  </w:style>
  <w:style w:type="character" w:customStyle="1" w:styleId="djs">
    <w:name w:val="djs"/>
    <w:basedOn w:val="a0"/>
    <w:rsid w:val="00223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733229">
      <w:bodyDiv w:val="1"/>
      <w:marLeft w:val="0"/>
      <w:marRight w:val="0"/>
      <w:marTop w:val="0"/>
      <w:marBottom w:val="0"/>
      <w:divBdr>
        <w:top w:val="none" w:sz="0" w:space="0" w:color="auto"/>
        <w:left w:val="none" w:sz="0" w:space="0" w:color="auto"/>
        <w:bottom w:val="none" w:sz="0" w:space="0" w:color="auto"/>
        <w:right w:val="none" w:sz="0" w:space="0" w:color="auto"/>
      </w:divBdr>
    </w:div>
    <w:div w:id="1413313793">
      <w:bodyDiv w:val="1"/>
      <w:marLeft w:val="0"/>
      <w:marRight w:val="0"/>
      <w:marTop w:val="0"/>
      <w:marBottom w:val="0"/>
      <w:divBdr>
        <w:top w:val="none" w:sz="0" w:space="0" w:color="auto"/>
        <w:left w:val="none" w:sz="0" w:space="0" w:color="auto"/>
        <w:bottom w:val="none" w:sz="0" w:space="0" w:color="auto"/>
        <w:right w:val="none" w:sz="0" w:space="0" w:color="auto"/>
      </w:divBdr>
      <w:divsChild>
        <w:div w:id="1090464792">
          <w:marLeft w:val="0"/>
          <w:marRight w:val="0"/>
          <w:marTop w:val="0"/>
          <w:marBottom w:val="0"/>
          <w:divBdr>
            <w:top w:val="none" w:sz="0" w:space="0" w:color="auto"/>
            <w:left w:val="none" w:sz="0" w:space="0" w:color="auto"/>
            <w:bottom w:val="single" w:sz="36" w:space="11" w:color="E5E5E5"/>
            <w:right w:val="none" w:sz="0" w:space="0" w:color="auto"/>
          </w:divBdr>
          <w:divsChild>
            <w:div w:id="2123918906">
              <w:marLeft w:val="0"/>
              <w:marRight w:val="0"/>
              <w:marTop w:val="225"/>
              <w:marBottom w:val="0"/>
              <w:divBdr>
                <w:top w:val="none" w:sz="0" w:space="0" w:color="auto"/>
                <w:left w:val="none" w:sz="0" w:space="0" w:color="auto"/>
                <w:bottom w:val="none" w:sz="0" w:space="0" w:color="auto"/>
                <w:right w:val="none" w:sz="0" w:space="0" w:color="auto"/>
              </w:divBdr>
            </w:div>
          </w:divsChild>
        </w:div>
        <w:div w:id="1855683845">
          <w:marLeft w:val="0"/>
          <w:marRight w:val="0"/>
          <w:marTop w:val="0"/>
          <w:marBottom w:val="0"/>
          <w:divBdr>
            <w:top w:val="none" w:sz="0" w:space="0" w:color="auto"/>
            <w:left w:val="none" w:sz="0" w:space="0" w:color="auto"/>
            <w:bottom w:val="none" w:sz="0" w:space="0" w:color="auto"/>
            <w:right w:val="none" w:sz="0" w:space="0" w:color="auto"/>
          </w:divBdr>
          <w:divsChild>
            <w:div w:id="48728134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484541007">
      <w:bodyDiv w:val="1"/>
      <w:marLeft w:val="0"/>
      <w:marRight w:val="0"/>
      <w:marTop w:val="0"/>
      <w:marBottom w:val="0"/>
      <w:divBdr>
        <w:top w:val="none" w:sz="0" w:space="0" w:color="auto"/>
        <w:left w:val="none" w:sz="0" w:space="0" w:color="auto"/>
        <w:bottom w:val="none" w:sz="0" w:space="0" w:color="auto"/>
        <w:right w:val="none" w:sz="0" w:space="0" w:color="auto"/>
      </w:divBdr>
      <w:divsChild>
        <w:div w:id="1627811250">
          <w:marLeft w:val="0"/>
          <w:marRight w:val="0"/>
          <w:marTop w:val="0"/>
          <w:marBottom w:val="0"/>
          <w:divBdr>
            <w:top w:val="none" w:sz="0" w:space="0" w:color="auto"/>
            <w:left w:val="none" w:sz="0" w:space="0" w:color="auto"/>
            <w:bottom w:val="none" w:sz="0" w:space="0" w:color="auto"/>
            <w:right w:val="none" w:sz="0" w:space="0" w:color="auto"/>
          </w:divBdr>
          <w:divsChild>
            <w:div w:id="1012225142">
              <w:marLeft w:val="0"/>
              <w:marRight w:val="0"/>
              <w:marTop w:val="0"/>
              <w:marBottom w:val="0"/>
              <w:divBdr>
                <w:top w:val="none" w:sz="0" w:space="0" w:color="auto"/>
                <w:left w:val="none" w:sz="0" w:space="0" w:color="auto"/>
                <w:bottom w:val="none" w:sz="0" w:space="0" w:color="auto"/>
                <w:right w:val="none" w:sz="0" w:space="0" w:color="auto"/>
              </w:divBdr>
              <w:divsChild>
                <w:div w:id="405803458">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81475896">
          <w:marLeft w:val="0"/>
          <w:marRight w:val="0"/>
          <w:marTop w:val="0"/>
          <w:marBottom w:val="0"/>
          <w:divBdr>
            <w:top w:val="none" w:sz="0" w:space="0" w:color="auto"/>
            <w:left w:val="none" w:sz="0" w:space="0" w:color="auto"/>
            <w:bottom w:val="none" w:sz="0" w:space="0" w:color="auto"/>
            <w:right w:val="none" w:sz="0" w:space="0" w:color="auto"/>
          </w:divBdr>
          <w:divsChild>
            <w:div w:id="1950309536">
              <w:marLeft w:val="0"/>
              <w:marRight w:val="0"/>
              <w:marTop w:val="0"/>
              <w:marBottom w:val="0"/>
              <w:divBdr>
                <w:top w:val="none" w:sz="0" w:space="0" w:color="auto"/>
                <w:left w:val="none" w:sz="0" w:space="0" w:color="auto"/>
                <w:bottom w:val="single" w:sz="6" w:space="15" w:color="E5E5E5"/>
                <w:right w:val="none" w:sz="0" w:space="0" w:color="auto"/>
              </w:divBdr>
            </w:div>
          </w:divsChild>
        </w:div>
      </w:divsChild>
    </w:div>
    <w:div w:id="1999069722">
      <w:bodyDiv w:val="1"/>
      <w:marLeft w:val="0"/>
      <w:marRight w:val="0"/>
      <w:marTop w:val="0"/>
      <w:marBottom w:val="0"/>
      <w:divBdr>
        <w:top w:val="none" w:sz="0" w:space="0" w:color="auto"/>
        <w:left w:val="none" w:sz="0" w:space="0" w:color="auto"/>
        <w:bottom w:val="none" w:sz="0" w:space="0" w:color="auto"/>
        <w:right w:val="none" w:sz="0" w:space="0" w:color="auto"/>
      </w:divBdr>
      <w:divsChild>
        <w:div w:id="1999769330">
          <w:marLeft w:val="0"/>
          <w:marRight w:val="0"/>
          <w:marTop w:val="0"/>
          <w:marBottom w:val="0"/>
          <w:divBdr>
            <w:top w:val="none" w:sz="0" w:space="0" w:color="auto"/>
            <w:left w:val="none" w:sz="0" w:space="0" w:color="auto"/>
            <w:bottom w:val="none" w:sz="0" w:space="0" w:color="auto"/>
            <w:right w:val="none" w:sz="0" w:space="0" w:color="auto"/>
          </w:divBdr>
          <w:divsChild>
            <w:div w:id="1999729148">
              <w:marLeft w:val="0"/>
              <w:marRight w:val="0"/>
              <w:marTop w:val="0"/>
              <w:marBottom w:val="0"/>
              <w:divBdr>
                <w:top w:val="none" w:sz="0" w:space="0" w:color="auto"/>
                <w:left w:val="none" w:sz="0" w:space="0" w:color="auto"/>
                <w:bottom w:val="none" w:sz="0" w:space="0" w:color="auto"/>
                <w:right w:val="none" w:sz="0" w:space="0" w:color="auto"/>
              </w:divBdr>
              <w:divsChild>
                <w:div w:id="1493838063">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979307617">
          <w:marLeft w:val="0"/>
          <w:marRight w:val="0"/>
          <w:marTop w:val="0"/>
          <w:marBottom w:val="0"/>
          <w:divBdr>
            <w:top w:val="none" w:sz="0" w:space="0" w:color="auto"/>
            <w:left w:val="none" w:sz="0" w:space="0" w:color="auto"/>
            <w:bottom w:val="none" w:sz="0" w:space="0" w:color="auto"/>
            <w:right w:val="none" w:sz="0" w:space="0" w:color="auto"/>
          </w:divBdr>
          <w:divsChild>
            <w:div w:id="1473711653">
              <w:marLeft w:val="0"/>
              <w:marRight w:val="0"/>
              <w:marTop w:val="0"/>
              <w:marBottom w:val="0"/>
              <w:divBdr>
                <w:top w:val="none" w:sz="0" w:space="0" w:color="auto"/>
                <w:left w:val="none" w:sz="0" w:space="0" w:color="auto"/>
                <w:bottom w:val="single" w:sz="6" w:space="15" w:color="E5E5E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13.108.173.240/th_cyzc/minstone/home/toHomeForm" TargetMode="External"/><Relationship Id="rId13" Type="http://schemas.openxmlformats.org/officeDocument/2006/relationships/hyperlink" Target="http://www.thnet.gov.cn/thxxw/qtgg/201804/common/preview_resource.action?id=896f30e20c1d476f809731ea0160f731&amp;type=pdf&amp;jcrVer=1.0" TargetMode="External"/><Relationship Id="rId3" Type="http://schemas.openxmlformats.org/officeDocument/2006/relationships/settings" Target="settings.xml"/><Relationship Id="rId7" Type="http://schemas.openxmlformats.org/officeDocument/2006/relationships/hyperlink" Target="http://www.thnet.gov.cn/cyfc/index.shtml" TargetMode="External"/><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net.gov.cn/thxxw/qtgg/201804/0705cf7f54a94eb6873b3348f1ed2dc2/files/2e8f0b37e0c1460e82a49acab22aa255.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net.gov.cn/thxxw/qtgg/201804/0705cf7f54a94eb6873b3348f1ed2dc2/files/0d8f1cd3824e4eb3be067e62b7cd194f.docx"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thnet.gov.cn/thxxw/qtgg/201804/0705cf7f54a94eb6873b3348f1ed2dc2/files/896f30e20c1d476f809731ea0160f73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1726</Characters>
  <Application>Microsoft Office Word</Application>
  <DocSecurity>0</DocSecurity>
  <Lines>14</Lines>
  <Paragraphs>4</Paragraphs>
  <ScaleCrop>false</ScaleCrop>
  <Company>微软中国</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5</cp:revision>
  <dcterms:created xsi:type="dcterms:W3CDTF">2019-04-23T08:31:00Z</dcterms:created>
  <dcterms:modified xsi:type="dcterms:W3CDTF">2019-04-24T03:10:00Z</dcterms:modified>
</cp:coreProperties>
</file>